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1C5" w:rsidRDefault="007C31C5" w:rsidP="0082503F">
      <w:pPr>
        <w:pStyle w:val="NormalWeb"/>
        <w:spacing w:before="0" w:beforeAutospacing="0" w:after="0" w:afterAutospacing="0"/>
        <w:jc w:val="both"/>
        <w:textAlignment w:val="baseline"/>
        <w:rPr>
          <w:rFonts w:ascii="Arial" w:hAnsi="Arial" w:cs="Arial"/>
          <w:b/>
          <w:color w:val="000000"/>
          <w:sz w:val="36"/>
          <w:szCs w:val="36"/>
        </w:rPr>
      </w:pPr>
    </w:p>
    <w:p w:rsidR="00D43050" w:rsidRPr="00D43050" w:rsidRDefault="00D43050" w:rsidP="00D43050">
      <w:pPr>
        <w:rPr>
          <w:rFonts w:ascii="Arial" w:hAnsi="Arial" w:cs="Arial"/>
          <w:b/>
          <w:bCs/>
          <w:color w:val="333333"/>
          <w:sz w:val="36"/>
          <w:szCs w:val="36"/>
        </w:rPr>
      </w:pPr>
    </w:p>
    <w:p w:rsidR="00667784" w:rsidRDefault="00CD47A1" w:rsidP="00667784">
      <w:pPr>
        <w:rPr>
          <w:rFonts w:ascii="Arial" w:hAnsi="Arial" w:cs="Arial"/>
          <w:b/>
          <w:sz w:val="36"/>
          <w:szCs w:val="36"/>
          <w:lang w:eastAsia="en-US"/>
        </w:rPr>
      </w:pPr>
      <w:r w:rsidRPr="00CD47A1">
        <w:rPr>
          <w:rFonts w:ascii="Arial" w:hAnsi="Arial" w:cs="Arial"/>
          <w:b/>
          <w:sz w:val="36"/>
          <w:szCs w:val="36"/>
          <w:lang w:eastAsia="en-US"/>
        </w:rPr>
        <w:t>Information relating to NHS translators</w:t>
      </w:r>
    </w:p>
    <w:p w:rsidR="00AC528E" w:rsidRDefault="00AC528E" w:rsidP="00667784">
      <w:pPr>
        <w:rPr>
          <w:rFonts w:ascii="Arial" w:hAnsi="Arial" w:cs="Arial"/>
          <w:b/>
          <w:sz w:val="36"/>
          <w:szCs w:val="36"/>
          <w:lang w:eastAsia="en-US"/>
        </w:rPr>
      </w:pPr>
    </w:p>
    <w:p w:rsidR="00CD47A1" w:rsidRPr="00CD47A1" w:rsidRDefault="00CD47A1" w:rsidP="00CD47A1">
      <w:pPr>
        <w:pStyle w:val="NormalWeb"/>
        <w:spacing w:before="0" w:beforeAutospacing="0" w:after="0" w:afterAutospacing="0"/>
        <w:jc w:val="both"/>
        <w:rPr>
          <w:rFonts w:ascii="Arial" w:hAnsi="Arial" w:cs="Arial"/>
          <w:b/>
        </w:rPr>
      </w:pPr>
      <w:r w:rsidRPr="00CD47A1">
        <w:rPr>
          <w:rFonts w:ascii="Arial" w:hAnsi="Arial" w:cs="Arial"/>
          <w:b/>
          <w:color w:val="000000"/>
        </w:rPr>
        <w:t>This is an information request relating to NHS translators  </w:t>
      </w:r>
    </w:p>
    <w:p w:rsidR="00CD47A1" w:rsidRPr="00CD47A1" w:rsidRDefault="00CD47A1" w:rsidP="00CD47A1">
      <w:pPr>
        <w:pStyle w:val="NormalWeb"/>
        <w:spacing w:before="0" w:beforeAutospacing="0" w:after="0" w:afterAutospacing="0"/>
        <w:jc w:val="both"/>
        <w:rPr>
          <w:rFonts w:ascii="Arial" w:hAnsi="Arial" w:cs="Arial"/>
          <w:b/>
        </w:rPr>
      </w:pPr>
      <w:r w:rsidRPr="00CD47A1">
        <w:rPr>
          <w:rFonts w:ascii="Arial" w:hAnsi="Arial" w:cs="Arial"/>
          <w:b/>
          <w:color w:val="000000"/>
        </w:rPr>
        <w:t> </w:t>
      </w:r>
    </w:p>
    <w:p w:rsidR="00CD47A1" w:rsidRDefault="00CD47A1" w:rsidP="00CD47A1">
      <w:pPr>
        <w:pStyle w:val="NormalWeb"/>
        <w:spacing w:before="0" w:beforeAutospacing="0" w:after="0" w:afterAutospacing="0"/>
        <w:jc w:val="both"/>
        <w:rPr>
          <w:rFonts w:ascii="Arial" w:hAnsi="Arial" w:cs="Arial"/>
          <w:b/>
          <w:color w:val="000000"/>
        </w:rPr>
      </w:pPr>
      <w:r w:rsidRPr="00CD47A1">
        <w:rPr>
          <w:rFonts w:ascii="Arial" w:hAnsi="Arial" w:cs="Arial"/>
          <w:b/>
          <w:color w:val="000000"/>
        </w:rPr>
        <w:t>Please include the following information for the following financial years 2022/23, 2023/24 and 2024/25:</w:t>
      </w:r>
      <w:bookmarkStart w:id="0" w:name="_GoBack"/>
      <w:bookmarkEnd w:id="0"/>
    </w:p>
    <w:p w:rsidR="00CD47A1" w:rsidRPr="00CD47A1" w:rsidRDefault="00CD47A1" w:rsidP="00CD47A1">
      <w:pPr>
        <w:pStyle w:val="NormalWeb"/>
        <w:spacing w:before="0" w:beforeAutospacing="0" w:after="0" w:afterAutospacing="0"/>
        <w:jc w:val="both"/>
        <w:rPr>
          <w:rFonts w:ascii="Arial" w:hAnsi="Arial" w:cs="Arial"/>
          <w:b/>
        </w:rPr>
      </w:pPr>
    </w:p>
    <w:p w:rsidR="00CD47A1" w:rsidRPr="00CD47A1" w:rsidRDefault="00CD47A1" w:rsidP="00CD47A1">
      <w:pPr>
        <w:pStyle w:val="NormalWeb"/>
        <w:numPr>
          <w:ilvl w:val="0"/>
          <w:numId w:val="10"/>
        </w:numPr>
        <w:spacing w:before="0" w:beforeAutospacing="0" w:after="0" w:afterAutospacing="0"/>
        <w:ind w:left="426"/>
        <w:textAlignment w:val="baseline"/>
        <w:rPr>
          <w:rFonts w:ascii="Arial" w:hAnsi="Arial" w:cs="Arial"/>
          <w:b/>
          <w:bCs/>
          <w:color w:val="000000"/>
        </w:rPr>
      </w:pPr>
      <w:r w:rsidRPr="00CD47A1">
        <w:rPr>
          <w:rFonts w:ascii="Arial" w:hAnsi="Arial" w:cs="Arial"/>
          <w:b/>
          <w:bCs/>
          <w:color w:val="000000"/>
        </w:rPr>
        <w:t>Trust’s overall spending on Translation and Interpreting  Services</w:t>
      </w:r>
    </w:p>
    <w:p w:rsidR="00CD47A1" w:rsidRPr="00CD47A1" w:rsidRDefault="00CD47A1" w:rsidP="00CD47A1">
      <w:pPr>
        <w:pStyle w:val="NormalWeb"/>
        <w:spacing w:before="0" w:beforeAutospacing="0" w:after="0" w:afterAutospacing="0"/>
        <w:ind w:left="426"/>
        <w:textAlignment w:val="baseline"/>
        <w:rPr>
          <w:rFonts w:ascii="Calibri" w:hAnsi="Calibri" w:cs="Calibri"/>
          <w:color w:val="44546A"/>
        </w:rPr>
      </w:pPr>
    </w:p>
    <w:p w:rsidR="00CD47A1" w:rsidRPr="00CD47A1" w:rsidRDefault="00CD47A1" w:rsidP="00CD47A1">
      <w:pPr>
        <w:pStyle w:val="NormalWeb"/>
        <w:spacing w:before="0" w:beforeAutospacing="0" w:after="0" w:afterAutospacing="0"/>
        <w:ind w:left="426"/>
        <w:textAlignment w:val="baseline"/>
        <w:rPr>
          <w:rFonts w:ascii="Arial" w:hAnsi="Arial" w:cs="Arial"/>
        </w:rPr>
      </w:pPr>
      <w:r w:rsidRPr="00CD47A1">
        <w:rPr>
          <w:rFonts w:ascii="Arial" w:hAnsi="Arial" w:cs="Arial"/>
        </w:rPr>
        <w:t xml:space="preserve">The Strategic Planning and Performance Group (formerly the Health and Social Care Board) cover the cost of face to face and telephone interpreting for all HSC Trusts.  Individual Trust services are required to cover the cost of written translations when they are required. </w:t>
      </w:r>
    </w:p>
    <w:p w:rsidR="00CD47A1" w:rsidRPr="00CD47A1" w:rsidRDefault="00CD47A1" w:rsidP="00CD47A1">
      <w:pPr>
        <w:rPr>
          <w:rFonts w:ascii="Calibri" w:hAnsi="Calibri" w:cs="Calibri"/>
          <w:color w:val="44546A"/>
        </w:rPr>
      </w:pPr>
    </w:p>
    <w:p w:rsidR="00CD47A1" w:rsidRPr="00CD47A1" w:rsidRDefault="00CD47A1" w:rsidP="00CD47A1">
      <w:pPr>
        <w:ind w:firstLine="426"/>
        <w:rPr>
          <w:rFonts w:ascii="Arial" w:hAnsi="Arial" w:cs="Arial"/>
        </w:rPr>
      </w:pPr>
      <w:r w:rsidRPr="00CD47A1">
        <w:rPr>
          <w:rFonts w:ascii="Arial" w:hAnsi="Arial" w:cs="Arial"/>
        </w:rPr>
        <w:t>Total costs in BHSCT paid for written translations</w:t>
      </w:r>
      <w:r w:rsidRPr="00CD47A1">
        <w:rPr>
          <w:rFonts w:ascii="Arial" w:hAnsi="Arial" w:cs="Arial"/>
          <w:color w:val="44546A"/>
        </w:rPr>
        <w:t>:</w:t>
      </w:r>
    </w:p>
    <w:p w:rsidR="00CD47A1" w:rsidRPr="00CD47A1" w:rsidRDefault="00CD47A1" w:rsidP="00CD47A1">
      <w:pPr>
        <w:spacing w:before="100" w:beforeAutospacing="1" w:after="100" w:afterAutospacing="1"/>
        <w:ind w:firstLine="426"/>
        <w:jc w:val="both"/>
        <w:textAlignment w:val="baseline"/>
        <w:rPr>
          <w:rFonts w:ascii="Arial" w:hAnsi="Arial" w:cs="Arial"/>
        </w:rPr>
      </w:pPr>
      <w:r w:rsidRPr="00CD47A1">
        <w:rPr>
          <w:rFonts w:ascii="Arial" w:hAnsi="Arial" w:cs="Arial"/>
        </w:rPr>
        <w:t xml:space="preserve">22/23 - </w:t>
      </w:r>
      <w:r w:rsidRPr="00CD47A1">
        <w:rPr>
          <w:rFonts w:ascii="Arial" w:hAnsi="Arial" w:cs="Arial"/>
          <w:bdr w:val="none" w:sz="0" w:space="0" w:color="auto" w:frame="1"/>
        </w:rPr>
        <w:t>£78,456.14</w:t>
      </w:r>
    </w:p>
    <w:p w:rsidR="00CD47A1" w:rsidRPr="00CD47A1" w:rsidRDefault="00CD47A1" w:rsidP="00CD47A1">
      <w:pPr>
        <w:ind w:firstLine="426"/>
        <w:rPr>
          <w:rFonts w:ascii="Arial" w:hAnsi="Arial" w:cs="Arial"/>
        </w:rPr>
      </w:pPr>
      <w:r w:rsidRPr="00CD47A1">
        <w:rPr>
          <w:rFonts w:ascii="Arial" w:hAnsi="Arial" w:cs="Arial"/>
        </w:rPr>
        <w:t>23/24- £33, 610.93</w:t>
      </w:r>
    </w:p>
    <w:p w:rsidR="00CD47A1" w:rsidRPr="00CD47A1" w:rsidRDefault="00CD47A1" w:rsidP="00CD47A1">
      <w:pPr>
        <w:rPr>
          <w:rFonts w:ascii="Arial" w:hAnsi="Arial" w:cs="Arial"/>
        </w:rPr>
      </w:pPr>
    </w:p>
    <w:p w:rsidR="00CD47A1" w:rsidRPr="00CD47A1" w:rsidRDefault="00CD47A1" w:rsidP="00CD47A1">
      <w:pPr>
        <w:ind w:firstLine="426"/>
        <w:rPr>
          <w:rFonts w:ascii="Arial" w:hAnsi="Arial" w:cs="Arial"/>
        </w:rPr>
      </w:pPr>
      <w:r w:rsidRPr="00CD47A1">
        <w:rPr>
          <w:rFonts w:ascii="Arial" w:hAnsi="Arial" w:cs="Arial"/>
        </w:rPr>
        <w:t>24/25 - £46, 292</w:t>
      </w:r>
    </w:p>
    <w:p w:rsidR="00CD47A1" w:rsidRPr="00CD47A1" w:rsidRDefault="00CD47A1" w:rsidP="00CD47A1">
      <w:pPr>
        <w:rPr>
          <w:rFonts w:ascii="Arial" w:hAnsi="Arial" w:cs="Arial"/>
        </w:rPr>
      </w:pPr>
    </w:p>
    <w:p w:rsidR="00CD47A1" w:rsidRPr="00CD47A1" w:rsidRDefault="00CD47A1" w:rsidP="00CD47A1">
      <w:pPr>
        <w:pStyle w:val="NormalWeb"/>
        <w:spacing w:before="0" w:beforeAutospacing="0" w:after="0" w:afterAutospacing="0"/>
        <w:ind w:left="1636"/>
        <w:textAlignment w:val="baseline"/>
        <w:rPr>
          <w:rFonts w:ascii="Arial" w:hAnsi="Arial" w:cs="Arial"/>
          <w:color w:val="000000"/>
        </w:rPr>
      </w:pPr>
    </w:p>
    <w:p w:rsidR="00CD47A1" w:rsidRPr="00CD47A1" w:rsidRDefault="00CD47A1" w:rsidP="00CD47A1">
      <w:pPr>
        <w:pStyle w:val="NormalWeb"/>
        <w:numPr>
          <w:ilvl w:val="0"/>
          <w:numId w:val="10"/>
        </w:numPr>
        <w:spacing w:before="0" w:beforeAutospacing="0" w:after="0" w:afterAutospacing="0"/>
        <w:ind w:left="426"/>
        <w:textAlignment w:val="baseline"/>
        <w:rPr>
          <w:rFonts w:ascii="Arial" w:hAnsi="Arial" w:cs="Arial"/>
          <w:b/>
          <w:bCs/>
          <w:color w:val="000000"/>
        </w:rPr>
      </w:pPr>
      <w:r w:rsidRPr="00CD47A1">
        <w:rPr>
          <w:rFonts w:ascii="Arial" w:hAnsi="Arial" w:cs="Arial"/>
          <w:b/>
          <w:bCs/>
          <w:color w:val="000000"/>
        </w:rPr>
        <w:t>Total translators employed by the Trust</w:t>
      </w:r>
    </w:p>
    <w:p w:rsidR="00CD47A1" w:rsidRPr="00CD47A1" w:rsidRDefault="00CD47A1" w:rsidP="00CD47A1">
      <w:pPr>
        <w:spacing w:before="100" w:beforeAutospacing="1" w:after="100" w:afterAutospacing="1"/>
        <w:ind w:left="360"/>
        <w:textAlignment w:val="baseline"/>
        <w:rPr>
          <w:rFonts w:ascii="Arial" w:hAnsi="Arial" w:cs="Arial"/>
        </w:rPr>
      </w:pPr>
      <w:r w:rsidRPr="00CD47A1">
        <w:rPr>
          <w:rFonts w:ascii="Arial" w:hAnsi="Arial" w:cs="Arial"/>
        </w:rPr>
        <w:t xml:space="preserve">The term translation is applicable to the written word whereas interpreting is of the spoken word – either face to face or via the telephone. The Trust does not employ any interpreters or translators. There are regional HSC contracts for both translations and interpretation. </w:t>
      </w:r>
    </w:p>
    <w:p w:rsidR="00CD47A1" w:rsidRPr="00CD47A1" w:rsidRDefault="00CD47A1" w:rsidP="00CD47A1">
      <w:pPr>
        <w:pStyle w:val="NormalWeb"/>
        <w:spacing w:before="0" w:beforeAutospacing="0" w:after="0" w:afterAutospacing="0"/>
        <w:ind w:left="1636"/>
        <w:textAlignment w:val="baseline"/>
        <w:rPr>
          <w:rFonts w:ascii="Arial" w:hAnsi="Arial" w:cs="Arial"/>
          <w:color w:val="FF0000"/>
        </w:rPr>
      </w:pPr>
    </w:p>
    <w:p w:rsidR="00CD47A1" w:rsidRPr="00CD47A1" w:rsidRDefault="00CD47A1" w:rsidP="00CD47A1">
      <w:pPr>
        <w:pStyle w:val="NormalWeb"/>
        <w:numPr>
          <w:ilvl w:val="0"/>
          <w:numId w:val="11"/>
        </w:numPr>
        <w:spacing w:before="0" w:beforeAutospacing="0" w:after="0" w:afterAutospacing="0"/>
        <w:ind w:left="426"/>
        <w:textAlignment w:val="baseline"/>
        <w:rPr>
          <w:rFonts w:ascii="Arial" w:hAnsi="Arial" w:cs="Arial"/>
          <w:b/>
          <w:bCs/>
          <w:color w:val="000000"/>
        </w:rPr>
      </w:pPr>
      <w:r w:rsidRPr="00CD47A1">
        <w:rPr>
          <w:rFonts w:ascii="Arial" w:hAnsi="Arial" w:cs="Arial"/>
          <w:b/>
          <w:bCs/>
          <w:color w:val="000000"/>
        </w:rPr>
        <w:t>The hourly pay for in-house interpreters</w:t>
      </w:r>
    </w:p>
    <w:p w:rsidR="00CD47A1" w:rsidRPr="00CD47A1" w:rsidRDefault="00CD47A1" w:rsidP="00CD47A1">
      <w:pPr>
        <w:spacing w:before="100" w:beforeAutospacing="1" w:after="100" w:afterAutospacing="1"/>
        <w:ind w:left="426"/>
        <w:textAlignment w:val="baseline"/>
        <w:rPr>
          <w:rFonts w:ascii="Arial" w:hAnsi="Arial" w:cs="Arial"/>
          <w:color w:val="FF0000"/>
        </w:rPr>
      </w:pPr>
      <w:r w:rsidRPr="00CD47A1">
        <w:rPr>
          <w:rFonts w:ascii="Arial" w:hAnsi="Arial" w:cs="Arial"/>
        </w:rPr>
        <w:t xml:space="preserve">The Strategic Planning and Performance Group covers the costs of interpreters – they are not in house interpreters – they offer their services on a sessional basis. </w:t>
      </w:r>
    </w:p>
    <w:p w:rsidR="00CD47A1" w:rsidRPr="00CD47A1" w:rsidRDefault="00CD47A1" w:rsidP="00CD47A1">
      <w:pPr>
        <w:pStyle w:val="NormalWeb"/>
        <w:spacing w:before="0" w:beforeAutospacing="0" w:after="0" w:afterAutospacing="0"/>
        <w:ind w:left="1636"/>
        <w:textAlignment w:val="baseline"/>
        <w:rPr>
          <w:rFonts w:ascii="Arial" w:hAnsi="Arial" w:cs="Arial"/>
          <w:color w:val="000000"/>
        </w:rPr>
      </w:pPr>
    </w:p>
    <w:p w:rsidR="00CD47A1" w:rsidRPr="00CD47A1" w:rsidRDefault="00CD47A1" w:rsidP="00CD47A1">
      <w:pPr>
        <w:pStyle w:val="NormalWeb"/>
        <w:numPr>
          <w:ilvl w:val="0"/>
          <w:numId w:val="11"/>
        </w:numPr>
        <w:spacing w:before="0" w:beforeAutospacing="0" w:after="0" w:afterAutospacing="0"/>
        <w:ind w:left="426"/>
        <w:textAlignment w:val="baseline"/>
        <w:rPr>
          <w:rFonts w:ascii="Arial" w:hAnsi="Arial" w:cs="Arial"/>
          <w:b/>
          <w:bCs/>
          <w:color w:val="000000"/>
        </w:rPr>
      </w:pPr>
      <w:r w:rsidRPr="00CD47A1">
        <w:rPr>
          <w:rFonts w:ascii="Arial" w:hAnsi="Arial" w:cs="Arial"/>
          <w:b/>
          <w:bCs/>
          <w:color w:val="000000"/>
        </w:rPr>
        <w:t>What languages do they cover </w:t>
      </w:r>
      <w:r w:rsidRPr="00CD47A1">
        <w:rPr>
          <w:rFonts w:ascii="Arial" w:hAnsi="Arial" w:cs="Arial"/>
        </w:rPr>
        <w:t>The top 20 languages requested by Belfast Trust for face to face interpreters are detailed below - Please also see attached spreadsheet for all languages requested over the last 3 years for face to face interpreting.  The second table below those languages requested for telephone interpreting. (</w:t>
      </w:r>
      <w:proofErr w:type="gramStart"/>
      <w:r w:rsidRPr="00CD47A1">
        <w:rPr>
          <w:rFonts w:ascii="Arial" w:hAnsi="Arial" w:cs="Arial"/>
        </w:rPr>
        <w:t>these</w:t>
      </w:r>
      <w:proofErr w:type="gramEnd"/>
      <w:r w:rsidRPr="00CD47A1">
        <w:rPr>
          <w:rFonts w:ascii="Arial" w:hAnsi="Arial" w:cs="Arial"/>
        </w:rPr>
        <w:t xml:space="preserve"> are in alphabetical order and not listed in terms of most requested).</w:t>
      </w:r>
    </w:p>
    <w:p w:rsidR="00CD47A1" w:rsidRPr="00CD47A1" w:rsidRDefault="00CD47A1" w:rsidP="00CD47A1">
      <w:pPr>
        <w:spacing w:before="100" w:beforeAutospacing="1" w:after="100" w:afterAutospacing="1"/>
        <w:ind w:left="426"/>
        <w:textAlignment w:val="baseline"/>
        <w:rPr>
          <w:rFonts w:ascii="Arial" w:hAnsi="Arial" w:cs="Arial"/>
          <w:color w:val="FF0000"/>
        </w:rPr>
      </w:pPr>
    </w:p>
    <w:p w:rsidR="00CD47A1" w:rsidRDefault="00CD47A1" w:rsidP="00CD47A1">
      <w:pPr>
        <w:autoSpaceDE w:val="0"/>
        <w:autoSpaceDN w:val="0"/>
        <w:rPr>
          <w:rFonts w:ascii="CIDFont+F2" w:hAnsi="CIDFont+F2" w:cs="Calibri"/>
          <w:sz w:val="22"/>
          <w:szCs w:val="22"/>
        </w:rPr>
      </w:pPr>
      <w:r>
        <w:rPr>
          <w:rFonts w:ascii="Calibri" w:hAnsi="Calibri" w:cs="Calibri"/>
          <w:noProof/>
          <w:sz w:val="22"/>
          <w:szCs w:val="22"/>
        </w:rPr>
        <w:drawing>
          <wp:anchor distT="0" distB="0" distL="114300" distR="114300" simplePos="0" relativeHeight="251657216" behindDoc="0" locked="0" layoutInCell="1" allowOverlap="1">
            <wp:simplePos x="0" y="0"/>
            <wp:positionH relativeFrom="column">
              <wp:posOffset>342900</wp:posOffset>
            </wp:positionH>
            <wp:positionV relativeFrom="paragraph">
              <wp:posOffset>92710</wp:posOffset>
            </wp:positionV>
            <wp:extent cx="2295525" cy="5086350"/>
            <wp:effectExtent l="0" t="0" r="9525" b="0"/>
            <wp:wrapNone/>
            <wp:docPr id="2" name="Picture 2" descr="Face to face interpreting&#10;&#10;1.Arabic&#10;2. Polish&#10;3. Somali&#10;4. Romanian&#10;5. Slovak&#10;6. Mandarin&#10;7. Cantonese&#10;8. Lithuanian&#10;9. Portuguese&#10;10. Farsi (Iran)&#10;11. Bulgarian&#10;12. Tigrinya&#10;13. Amharic&#10;14. Hungarian&#10;15. Bengali&#10;16. Ukrainian&#10;17. Russian&#10;18. Spanish&#10;19. Urdu&#10;20. Tetu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 to face interpreting&#10;&#10;1.Arabic&#10;2. Polish&#10;3. Somali&#10;4. Romanian&#10;5. Slovak&#10;6. Mandarin&#10;7. Cantonese&#10;8. Lithuanian&#10;9. Portuguese&#10;10. Farsi (Iran)&#10;11. Bulgarian&#10;12. Tigrinya&#10;13. Amharic&#10;14. Hungarian&#10;15. Bengali&#10;16. Ukrainian&#10;17. Russian&#10;18. Spanish&#10;19. Urdu&#10;20. Tetum&#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5086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noProof/>
          <w:sz w:val="22"/>
          <w:szCs w:val="22"/>
        </w:rPr>
        <w:drawing>
          <wp:anchor distT="0" distB="0" distL="114300" distR="114300" simplePos="0" relativeHeight="251658240" behindDoc="0" locked="0" layoutInCell="1" allowOverlap="1">
            <wp:simplePos x="0" y="0"/>
            <wp:positionH relativeFrom="column">
              <wp:posOffset>2895600</wp:posOffset>
            </wp:positionH>
            <wp:positionV relativeFrom="paragraph">
              <wp:posOffset>126365</wp:posOffset>
            </wp:positionV>
            <wp:extent cx="3209925" cy="6181725"/>
            <wp:effectExtent l="0" t="0" r="9525" b="9525"/>
            <wp:wrapNone/>
            <wp:docPr id="1" name="Picture 1" descr="Telephone interpreting&#10;• Albanian&#10;• Amharic&#10;• Arabic&#10;• Bengali&#10;• Bulgarian&#10;• Cantonese&#10;• Czech&#10;• French&#10;• German&#10;• Greek&#10;• Hindi&#10;• Hungarian&#10;• Italian&#10;• Latvian&#10;• Lithuanian&#10;• Mandarin&#10;• Pashto&#10;• Polish&#10;• Portuguese&#10;• Punjabi&#10;• Romanian&#10;• Russian&#10;• Slovak&#10;• Somali&#10;• Spanish&#10;• Tagalog&#10;• Tamil&#10;• Telugu&#10;• Thai&#10;• Tigrinya&#10;• Turkish&#10;• Ukrainian&#10;• Urdu&#10;• Vietname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ephone interpreting&#10;• Albanian&#10;• Amharic&#10;• Arabic&#10;• Bengali&#10;• Bulgarian&#10;• Cantonese&#10;• Czech&#10;• French&#10;• German&#10;• Greek&#10;• Hindi&#10;• Hungarian&#10;• Italian&#10;• Latvian&#10;• Lithuanian&#10;• Mandarin&#10;• Pashto&#10;• Polish&#10;• Portuguese&#10;• Punjabi&#10;• Romanian&#10;• Russian&#10;• Slovak&#10;• Somali&#10;• Spanish&#10;• Tagalog&#10;• Tamil&#10;• Telugu&#10;• Thai&#10;• Tigrinya&#10;• Turkish&#10;• Ukrainian&#10;• Urdu&#10;• Vietnames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6181725"/>
                    </a:xfrm>
                    <a:prstGeom prst="rect">
                      <a:avLst/>
                    </a:prstGeom>
                    <a:noFill/>
                  </pic:spPr>
                </pic:pic>
              </a:graphicData>
            </a:graphic>
            <wp14:sizeRelH relativeFrom="page">
              <wp14:pctWidth>0</wp14:pctWidth>
            </wp14:sizeRelH>
            <wp14:sizeRelV relativeFrom="margin">
              <wp14:pctHeight>0</wp14:pctHeight>
            </wp14:sizeRelV>
          </wp:anchor>
        </w:drawing>
      </w:r>
    </w:p>
    <w:p w:rsidR="00CD47A1" w:rsidRDefault="00CD47A1" w:rsidP="00CD47A1">
      <w:pPr>
        <w:rPr>
          <w:rFonts w:ascii="Calibri" w:hAnsi="Calibri"/>
        </w:rPr>
      </w:pPr>
    </w:p>
    <w:p w:rsidR="00CD47A1" w:rsidRDefault="00CD47A1" w:rsidP="00CD47A1">
      <w:pPr>
        <w:rPr>
          <w:rFonts w:ascii="Arial" w:hAnsi="Arial" w:cs="Arial"/>
        </w:rPr>
      </w:pPr>
    </w:p>
    <w:p w:rsidR="00CD47A1" w:rsidRDefault="00CD47A1" w:rsidP="00CD47A1">
      <w:pPr>
        <w:rPr>
          <w:rFonts w:ascii="Arial" w:hAnsi="Arial" w:cs="Arial"/>
        </w:rPr>
      </w:pPr>
    </w:p>
    <w:p w:rsidR="00CD47A1" w:rsidRDefault="00CD47A1" w:rsidP="00CD47A1">
      <w:pPr>
        <w:rPr>
          <w:rFonts w:ascii="Arial" w:hAnsi="Arial" w:cs="Arial"/>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ind w:left="720"/>
        <w:textAlignment w:val="baseline"/>
        <w:rPr>
          <w:rFonts w:ascii="Arial" w:hAnsi="Arial" w:cs="Arial"/>
          <w:color w:val="000000"/>
          <w:sz w:val="22"/>
          <w:szCs w:val="22"/>
        </w:rPr>
      </w:pPr>
    </w:p>
    <w:p w:rsidR="00CD47A1" w:rsidRDefault="00CD47A1" w:rsidP="00CD47A1">
      <w:pPr>
        <w:pStyle w:val="NormalWeb"/>
        <w:spacing w:before="0" w:beforeAutospacing="0" w:after="0" w:afterAutospacing="0"/>
        <w:textAlignment w:val="baseline"/>
        <w:rPr>
          <w:rFonts w:ascii="Arial" w:hAnsi="Arial" w:cs="Arial"/>
          <w:color w:val="000000"/>
          <w:sz w:val="22"/>
          <w:szCs w:val="22"/>
        </w:rPr>
      </w:pPr>
    </w:p>
    <w:p w:rsidR="00CD47A1" w:rsidRDefault="00CD47A1" w:rsidP="00CD47A1">
      <w:pPr>
        <w:pStyle w:val="NormalWeb"/>
        <w:spacing w:before="0" w:beforeAutospacing="0" w:after="0" w:afterAutospacing="0"/>
        <w:textAlignment w:val="baseline"/>
        <w:rPr>
          <w:rFonts w:ascii="Arial" w:hAnsi="Arial" w:cs="Arial"/>
          <w:color w:val="000000"/>
          <w:sz w:val="22"/>
          <w:szCs w:val="22"/>
        </w:rPr>
      </w:pPr>
    </w:p>
    <w:p w:rsidR="00CD47A1" w:rsidRDefault="00CD47A1" w:rsidP="00CD47A1">
      <w:pPr>
        <w:pStyle w:val="NormalWeb"/>
        <w:spacing w:before="0" w:beforeAutospacing="0" w:after="0" w:afterAutospacing="0"/>
        <w:textAlignment w:val="baseline"/>
        <w:rPr>
          <w:rFonts w:ascii="Arial" w:hAnsi="Arial" w:cs="Arial"/>
          <w:color w:val="000000"/>
          <w:sz w:val="22"/>
          <w:szCs w:val="22"/>
        </w:rPr>
      </w:pPr>
    </w:p>
    <w:p w:rsidR="00CD47A1" w:rsidRPr="00CD47A1" w:rsidRDefault="00CD47A1" w:rsidP="00CD47A1">
      <w:pPr>
        <w:pStyle w:val="NormalWeb"/>
        <w:numPr>
          <w:ilvl w:val="0"/>
          <w:numId w:val="11"/>
        </w:numPr>
        <w:spacing w:before="0" w:beforeAutospacing="0" w:after="0" w:afterAutospacing="0"/>
        <w:textAlignment w:val="baseline"/>
        <w:rPr>
          <w:rFonts w:ascii="Arial" w:hAnsi="Arial" w:cs="Arial"/>
          <w:b/>
          <w:bCs/>
          <w:color w:val="000000"/>
        </w:rPr>
      </w:pPr>
      <w:r w:rsidRPr="00CD47A1">
        <w:rPr>
          <w:rFonts w:ascii="Arial" w:hAnsi="Arial" w:cs="Arial"/>
          <w:b/>
          <w:bCs/>
          <w:color w:val="000000"/>
        </w:rPr>
        <w:t>Total number of in-person/face to face interpreting sessions  booked (break down by language and clinical area) </w:t>
      </w:r>
    </w:p>
    <w:p w:rsidR="00CD47A1" w:rsidRPr="00CD47A1" w:rsidRDefault="00CD47A1" w:rsidP="00CD47A1">
      <w:pPr>
        <w:pStyle w:val="NormalWeb"/>
        <w:spacing w:before="0" w:beforeAutospacing="0" w:after="0" w:afterAutospacing="0"/>
        <w:textAlignment w:val="baseline"/>
        <w:rPr>
          <w:rFonts w:ascii="Calibri" w:hAnsi="Calibri" w:cs="Calibri"/>
          <w:b/>
          <w:bCs/>
          <w:color w:val="44546A"/>
        </w:rPr>
      </w:pPr>
    </w:p>
    <w:p w:rsidR="00CD47A1" w:rsidRPr="00CD47A1" w:rsidRDefault="00CD47A1" w:rsidP="00CD47A1">
      <w:pPr>
        <w:pStyle w:val="NormalWeb"/>
        <w:spacing w:before="0" w:beforeAutospacing="0" w:after="0" w:afterAutospacing="0"/>
        <w:ind w:left="720"/>
        <w:textAlignment w:val="baseline"/>
        <w:rPr>
          <w:rFonts w:ascii="Arial" w:hAnsi="Arial" w:cs="Arial"/>
        </w:rPr>
      </w:pPr>
      <w:r w:rsidRPr="00CD47A1">
        <w:rPr>
          <w:rFonts w:ascii="Arial" w:hAnsi="Arial" w:cs="Arial"/>
        </w:rPr>
        <w:t>The excel spreadsheet attached details the number of face to face sessions broken down by ward area and language per year</w:t>
      </w:r>
    </w:p>
    <w:p w:rsidR="00CD47A1" w:rsidRPr="00CD47A1" w:rsidRDefault="00CD47A1" w:rsidP="00CD47A1">
      <w:pPr>
        <w:pStyle w:val="NormalWeb"/>
        <w:spacing w:before="0" w:beforeAutospacing="0" w:after="0" w:afterAutospacing="0"/>
        <w:ind w:left="1636"/>
        <w:textAlignment w:val="baseline"/>
        <w:rPr>
          <w:rFonts w:ascii="Arial" w:hAnsi="Arial" w:cs="Arial"/>
          <w:color w:val="000000"/>
        </w:rPr>
      </w:pPr>
    </w:p>
    <w:p w:rsidR="00CD47A1" w:rsidRPr="00CD47A1" w:rsidRDefault="00CD47A1" w:rsidP="00CD47A1">
      <w:pPr>
        <w:pStyle w:val="NormalWeb"/>
        <w:numPr>
          <w:ilvl w:val="0"/>
          <w:numId w:val="11"/>
        </w:numPr>
        <w:spacing w:before="0" w:beforeAutospacing="0" w:after="0" w:afterAutospacing="0"/>
        <w:textAlignment w:val="baseline"/>
        <w:rPr>
          <w:rFonts w:ascii="Arial" w:hAnsi="Arial" w:cs="Arial"/>
          <w:b/>
          <w:bCs/>
          <w:color w:val="000000"/>
        </w:rPr>
      </w:pPr>
      <w:r w:rsidRPr="00CD47A1">
        <w:rPr>
          <w:rFonts w:ascii="Arial" w:hAnsi="Arial" w:cs="Arial"/>
          <w:b/>
          <w:bCs/>
          <w:color w:val="000000"/>
        </w:rPr>
        <w:t>How many appointments or procedures have h</w:t>
      </w:r>
      <w:r>
        <w:rPr>
          <w:rFonts w:ascii="Arial" w:hAnsi="Arial" w:cs="Arial"/>
          <w:b/>
          <w:bCs/>
          <w:color w:val="000000"/>
        </w:rPr>
        <w:t xml:space="preserve">ad to be rescheduled/cancelled </w:t>
      </w:r>
      <w:r w:rsidRPr="00CD47A1">
        <w:rPr>
          <w:rFonts w:ascii="Arial" w:hAnsi="Arial" w:cs="Arial"/>
          <w:b/>
          <w:bCs/>
          <w:color w:val="000000"/>
        </w:rPr>
        <w:t xml:space="preserve">due to interpreter? </w:t>
      </w:r>
    </w:p>
    <w:p w:rsidR="00CD47A1" w:rsidRPr="00CD47A1" w:rsidRDefault="00CD47A1" w:rsidP="00CD47A1">
      <w:pPr>
        <w:pStyle w:val="ListParagraph"/>
        <w:rPr>
          <w:rFonts w:ascii="Arial" w:hAnsi="Arial" w:cs="Arial"/>
          <w:color w:val="000000"/>
          <w:sz w:val="24"/>
          <w:szCs w:val="24"/>
        </w:rPr>
      </w:pPr>
    </w:p>
    <w:p w:rsidR="00CD47A1" w:rsidRPr="00CD47A1" w:rsidRDefault="00CD47A1" w:rsidP="00CD47A1">
      <w:pPr>
        <w:pStyle w:val="NormalWeb"/>
        <w:spacing w:before="0" w:beforeAutospacing="0" w:after="0" w:afterAutospacing="0"/>
        <w:ind w:left="720"/>
        <w:textAlignment w:val="baseline"/>
        <w:rPr>
          <w:rFonts w:ascii="Arial" w:hAnsi="Arial" w:cs="Arial"/>
        </w:rPr>
      </w:pPr>
      <w:r w:rsidRPr="00CD47A1">
        <w:rPr>
          <w:rFonts w:ascii="Arial" w:hAnsi="Arial" w:cs="Arial"/>
        </w:rPr>
        <w:t>This information is not routinely available</w:t>
      </w:r>
      <w:r>
        <w:rPr>
          <w:rFonts w:ascii="Arial" w:hAnsi="Arial" w:cs="Arial"/>
        </w:rPr>
        <w:t>.</w:t>
      </w:r>
    </w:p>
    <w:sectPr w:rsidR="00CD47A1" w:rsidRPr="00CD47A1" w:rsidSect="007C31C5">
      <w:headerReference w:type="default" r:id="rId10"/>
      <w:footerReference w:type="default" r:id="rId11"/>
      <w:pgSz w:w="11906" w:h="16838"/>
      <w:pgMar w:top="1985" w:right="1440" w:bottom="993" w:left="1440"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9B" w:rsidRDefault="00F53D9B" w:rsidP="00F53D9B">
      <w:r>
        <w:separator/>
      </w:r>
    </w:p>
  </w:endnote>
  <w:endnote w:type="continuationSeparator" w:id="0">
    <w:p w:rsidR="00F53D9B" w:rsidRDefault="00F53D9B" w:rsidP="00F5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1186633601"/>
      <w:docPartObj>
        <w:docPartGallery w:val="Page Numbers (Bottom of Page)"/>
        <w:docPartUnique/>
      </w:docPartObj>
    </w:sdtPr>
    <w:sdtEndPr/>
    <w:sdtContent>
      <w:sdt>
        <w:sdtPr>
          <w:rPr>
            <w:b/>
            <w:sz w:val="16"/>
            <w:szCs w:val="16"/>
          </w:rPr>
          <w:id w:val="-1769616900"/>
          <w:docPartObj>
            <w:docPartGallery w:val="Page Numbers (Top of Page)"/>
            <w:docPartUnique/>
          </w:docPartObj>
        </w:sdtPr>
        <w:sdtEndPr/>
        <w:sdtContent>
          <w:p w:rsidR="00092BD9" w:rsidRDefault="00092BD9" w:rsidP="00092BD9">
            <w:pPr>
              <w:pStyle w:val="Footer"/>
              <w:tabs>
                <w:tab w:val="clear" w:pos="4513"/>
                <w:tab w:val="clear" w:pos="9026"/>
              </w:tabs>
              <w:ind w:left="-1276" w:right="-755"/>
              <w:jc w:val="right"/>
              <w:rPr>
                <w:b/>
                <w:sz w:val="16"/>
                <w:szCs w:val="16"/>
              </w:rPr>
            </w:pPr>
          </w:p>
          <w:p w:rsidR="00F53D9B" w:rsidRPr="00092BD9" w:rsidRDefault="00092BD9" w:rsidP="00092BD9">
            <w:pPr>
              <w:pStyle w:val="Footer"/>
              <w:tabs>
                <w:tab w:val="clear" w:pos="4513"/>
                <w:tab w:val="clear" w:pos="9026"/>
              </w:tabs>
              <w:ind w:left="-993" w:right="-755"/>
              <w:jc w:val="right"/>
              <w:rPr>
                <w:b/>
                <w:sz w:val="16"/>
                <w:szCs w:val="16"/>
              </w:rPr>
            </w:pPr>
            <w:r>
              <w:rPr>
                <w:rFonts w:ascii="Arial" w:hAnsi="Arial" w:cs="Arial"/>
                <w:b/>
                <w:sz w:val="20"/>
                <w:szCs w:val="20"/>
              </w:rPr>
              <w:t xml:space="preserve">Contact: </w:t>
            </w:r>
            <w:hyperlink r:id="rId1" w:history="1">
              <w:r w:rsidRPr="00AB1A6D">
                <w:rPr>
                  <w:rStyle w:val="Hyperlink"/>
                  <w:rFonts w:ascii="Arial" w:hAnsi="Arial" w:cs="Arial"/>
                  <w:b/>
                  <w:sz w:val="20"/>
                  <w:szCs w:val="20"/>
                </w:rPr>
                <w:t>publicliaison@belfasttrust.hscni.net</w:t>
              </w:r>
            </w:hyperlink>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92BD9">
              <w:rPr>
                <w:rFonts w:ascii="Arial" w:hAnsi="Arial" w:cs="Arial"/>
                <w:b/>
                <w:sz w:val="20"/>
                <w:szCs w:val="20"/>
              </w:rPr>
              <w:tab/>
              <w:t>P</w:t>
            </w:r>
            <w:r w:rsidR="00F53D9B" w:rsidRPr="00092BD9">
              <w:rPr>
                <w:rFonts w:ascii="Arial" w:hAnsi="Arial" w:cs="Arial"/>
                <w:b/>
                <w:sz w:val="20"/>
                <w:szCs w:val="20"/>
              </w:rPr>
              <w:t xml:space="preserve">age </w:t>
            </w:r>
            <w:r w:rsidR="00F53D9B" w:rsidRPr="00092BD9">
              <w:rPr>
                <w:rFonts w:ascii="Arial" w:hAnsi="Arial" w:cs="Arial"/>
                <w:b/>
                <w:bCs/>
                <w:sz w:val="20"/>
                <w:szCs w:val="20"/>
              </w:rPr>
              <w:fldChar w:fldCharType="begin"/>
            </w:r>
            <w:r w:rsidR="00F53D9B" w:rsidRPr="00092BD9">
              <w:rPr>
                <w:rFonts w:ascii="Arial" w:hAnsi="Arial" w:cs="Arial"/>
                <w:b/>
                <w:bCs/>
                <w:sz w:val="20"/>
                <w:szCs w:val="20"/>
              </w:rPr>
              <w:instrText xml:space="preserve"> PAGE </w:instrText>
            </w:r>
            <w:r w:rsidR="00F53D9B" w:rsidRPr="00092BD9">
              <w:rPr>
                <w:rFonts w:ascii="Arial" w:hAnsi="Arial" w:cs="Arial"/>
                <w:b/>
                <w:bCs/>
                <w:sz w:val="20"/>
                <w:szCs w:val="20"/>
              </w:rPr>
              <w:fldChar w:fldCharType="separate"/>
            </w:r>
            <w:r w:rsidR="00BF0827">
              <w:rPr>
                <w:rFonts w:ascii="Arial" w:hAnsi="Arial" w:cs="Arial"/>
                <w:b/>
                <w:bCs/>
                <w:noProof/>
                <w:sz w:val="20"/>
                <w:szCs w:val="20"/>
              </w:rPr>
              <w:t>2</w:t>
            </w:r>
            <w:r w:rsidR="00F53D9B" w:rsidRPr="00092BD9">
              <w:rPr>
                <w:rFonts w:ascii="Arial" w:hAnsi="Arial" w:cs="Arial"/>
                <w:b/>
                <w:bCs/>
                <w:sz w:val="20"/>
                <w:szCs w:val="20"/>
              </w:rPr>
              <w:fldChar w:fldCharType="end"/>
            </w:r>
            <w:r w:rsidR="00F53D9B" w:rsidRPr="00092BD9">
              <w:rPr>
                <w:rFonts w:ascii="Arial" w:hAnsi="Arial" w:cs="Arial"/>
                <w:b/>
                <w:sz w:val="20"/>
                <w:szCs w:val="20"/>
              </w:rPr>
              <w:t xml:space="preserve"> of </w:t>
            </w:r>
            <w:r w:rsidR="00F53D9B" w:rsidRPr="00092BD9">
              <w:rPr>
                <w:rFonts w:ascii="Arial" w:hAnsi="Arial" w:cs="Arial"/>
                <w:b/>
                <w:bCs/>
                <w:sz w:val="20"/>
                <w:szCs w:val="20"/>
              </w:rPr>
              <w:fldChar w:fldCharType="begin"/>
            </w:r>
            <w:r w:rsidR="00F53D9B" w:rsidRPr="00092BD9">
              <w:rPr>
                <w:rFonts w:ascii="Arial" w:hAnsi="Arial" w:cs="Arial"/>
                <w:b/>
                <w:bCs/>
                <w:sz w:val="20"/>
                <w:szCs w:val="20"/>
              </w:rPr>
              <w:instrText xml:space="preserve"> NUMPAGES  </w:instrText>
            </w:r>
            <w:r w:rsidR="00F53D9B" w:rsidRPr="00092BD9">
              <w:rPr>
                <w:rFonts w:ascii="Arial" w:hAnsi="Arial" w:cs="Arial"/>
                <w:b/>
                <w:bCs/>
                <w:sz w:val="20"/>
                <w:szCs w:val="20"/>
              </w:rPr>
              <w:fldChar w:fldCharType="separate"/>
            </w:r>
            <w:r w:rsidR="00BF0827">
              <w:rPr>
                <w:rFonts w:ascii="Arial" w:hAnsi="Arial" w:cs="Arial"/>
                <w:b/>
                <w:bCs/>
                <w:noProof/>
                <w:sz w:val="20"/>
                <w:szCs w:val="20"/>
              </w:rPr>
              <w:t>2</w:t>
            </w:r>
            <w:r w:rsidR="00F53D9B" w:rsidRPr="00092BD9">
              <w:rPr>
                <w:rFonts w:ascii="Arial" w:hAnsi="Arial" w:cs="Arial"/>
                <w:b/>
                <w:bCs/>
                <w:sz w:val="20"/>
                <w:szCs w:val="20"/>
              </w:rPr>
              <w:fldChar w:fldCharType="end"/>
            </w:r>
          </w:p>
        </w:sdtContent>
      </w:sdt>
    </w:sdtContent>
  </w:sdt>
  <w:p w:rsidR="00F53D9B" w:rsidRDefault="00F53D9B" w:rsidP="00F53D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9B" w:rsidRDefault="00F53D9B" w:rsidP="00F53D9B">
      <w:r>
        <w:separator/>
      </w:r>
    </w:p>
  </w:footnote>
  <w:footnote w:type="continuationSeparator" w:id="0">
    <w:p w:rsidR="00F53D9B" w:rsidRDefault="00F53D9B" w:rsidP="00F5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9B" w:rsidRDefault="00092BD9" w:rsidP="00F53D9B">
    <w:pPr>
      <w:pStyle w:val="Header"/>
      <w:tabs>
        <w:tab w:val="clear" w:pos="4513"/>
        <w:tab w:val="clear" w:pos="9026"/>
      </w:tabs>
      <w:ind w:right="-755"/>
      <w:jc w:val="right"/>
      <w:rPr>
        <w:rFonts w:ascii="Arial" w:hAnsi="Arial" w:cs="Arial"/>
        <w:b/>
        <w:sz w:val="48"/>
        <w:szCs w:val="48"/>
        <w:u w:val="single"/>
      </w:rPr>
    </w:pPr>
    <w:r w:rsidRPr="0082503F">
      <w:rPr>
        <w:noProof/>
        <w:sz w:val="48"/>
        <w:szCs w:val="48"/>
      </w:rPr>
      <w:drawing>
        <wp:anchor distT="0" distB="0" distL="114300" distR="114300" simplePos="0" relativeHeight="251659264" behindDoc="1" locked="0" layoutInCell="1" allowOverlap="1" wp14:anchorId="61D10686" wp14:editId="2AF43E9D">
          <wp:simplePos x="0" y="0"/>
          <wp:positionH relativeFrom="column">
            <wp:posOffset>-528320</wp:posOffset>
          </wp:positionH>
          <wp:positionV relativeFrom="paragraph">
            <wp:posOffset>20320</wp:posOffset>
          </wp:positionV>
          <wp:extent cx="1980565" cy="571500"/>
          <wp:effectExtent l="0" t="0" r="635" b="0"/>
          <wp:wrapTight wrapText="bothSides">
            <wp:wrapPolygon edited="0">
              <wp:start x="0" y="0"/>
              <wp:lineTo x="0" y="20880"/>
              <wp:lineTo x="21399" y="20880"/>
              <wp:lineTo x="21399" y="0"/>
              <wp:lineTo x="0" y="0"/>
            </wp:wrapPolygon>
          </wp:wrapTight>
          <wp:docPr id="8" name="Picture 8" descr="BHSCT Logo in Colour (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HSCT Logo in Colour (outli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5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D9B" w:rsidRPr="0082503F">
      <w:rPr>
        <w:rFonts w:ascii="Arial" w:hAnsi="Arial" w:cs="Arial"/>
        <w:b/>
        <w:sz w:val="48"/>
        <w:szCs w:val="48"/>
        <w:u w:val="single"/>
      </w:rPr>
      <w:t>FOI/</w:t>
    </w:r>
    <w:r w:rsidR="00EF42D7">
      <w:rPr>
        <w:rFonts w:ascii="Arial" w:hAnsi="Arial" w:cs="Arial"/>
        <w:b/>
        <w:sz w:val="48"/>
        <w:szCs w:val="48"/>
        <w:u w:val="single"/>
      </w:rPr>
      <w:t>34</w:t>
    </w:r>
    <w:r w:rsidR="00CD47A1">
      <w:rPr>
        <w:rFonts w:ascii="Arial" w:hAnsi="Arial" w:cs="Arial"/>
        <w:b/>
        <w:sz w:val="48"/>
        <w:szCs w:val="48"/>
        <w:u w:val="single"/>
      </w:rPr>
      <w:t>809</w:t>
    </w:r>
  </w:p>
  <w:p w:rsidR="007C31C5" w:rsidRDefault="007C31C5" w:rsidP="00F53D9B">
    <w:pPr>
      <w:pStyle w:val="Header"/>
      <w:tabs>
        <w:tab w:val="clear" w:pos="4513"/>
        <w:tab w:val="clear" w:pos="9026"/>
      </w:tabs>
      <w:ind w:right="-755"/>
      <w:jc w:val="right"/>
      <w:rPr>
        <w:rFonts w:ascii="Arial" w:hAnsi="Arial" w:cs="Arial"/>
        <w:b/>
        <w:sz w:val="48"/>
        <w:szCs w:val="48"/>
        <w:u w:val="single"/>
      </w:rPr>
    </w:pPr>
  </w:p>
  <w:p w:rsidR="007C31C5" w:rsidRPr="004D5960" w:rsidRDefault="00BF0827" w:rsidP="00F53D9B">
    <w:pPr>
      <w:pStyle w:val="Header"/>
      <w:tabs>
        <w:tab w:val="clear" w:pos="4513"/>
        <w:tab w:val="clear" w:pos="9026"/>
      </w:tabs>
      <w:ind w:right="-755"/>
      <w:jc w:val="right"/>
      <w:rPr>
        <w:rFonts w:ascii="Arial" w:hAnsi="Arial" w:cs="Arial"/>
        <w:b/>
        <w:sz w:val="28"/>
        <w:szCs w:val="28"/>
      </w:rPr>
    </w:pPr>
    <w:r>
      <w:rPr>
        <w:rFonts w:ascii="Arial" w:hAnsi="Arial" w:cs="Arial"/>
        <w:b/>
        <w:sz w:val="28"/>
        <w:szCs w:val="28"/>
      </w:rPr>
      <w:t>04</w:t>
    </w:r>
    <w:r w:rsidR="00345040">
      <w:rPr>
        <w:rFonts w:ascii="Arial" w:hAnsi="Arial" w:cs="Arial"/>
        <w:b/>
        <w:sz w:val="28"/>
        <w:szCs w:val="28"/>
      </w:rPr>
      <w:t xml:space="preserve"> </w:t>
    </w:r>
    <w:r w:rsidR="00EF42D7">
      <w:rPr>
        <w:rFonts w:ascii="Arial" w:hAnsi="Arial" w:cs="Arial"/>
        <w:b/>
        <w:sz w:val="28"/>
        <w:szCs w:val="28"/>
      </w:rPr>
      <w:t>September</w:t>
    </w:r>
    <w:r w:rsidR="004A3B0D">
      <w:rPr>
        <w:rFonts w:ascii="Arial" w:hAnsi="Arial" w:cs="Arial"/>
        <w:b/>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5E4"/>
    <w:multiLevelType w:val="hybridMultilevel"/>
    <w:tmpl w:val="4678D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DF406E"/>
    <w:multiLevelType w:val="hybridMultilevel"/>
    <w:tmpl w:val="17825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E16E1"/>
    <w:multiLevelType w:val="multilevel"/>
    <w:tmpl w:val="B9C69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16C6F"/>
    <w:multiLevelType w:val="hybridMultilevel"/>
    <w:tmpl w:val="367818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87D58F3"/>
    <w:multiLevelType w:val="hybridMultilevel"/>
    <w:tmpl w:val="4D227FD8"/>
    <w:lvl w:ilvl="0" w:tplc="DC881194">
      <w:start w:val="3"/>
      <w:numFmt w:val="decimal"/>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456CEF"/>
    <w:multiLevelType w:val="hybridMultilevel"/>
    <w:tmpl w:val="A528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54358"/>
    <w:multiLevelType w:val="hybridMultilevel"/>
    <w:tmpl w:val="76FE5A9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5B71F74"/>
    <w:multiLevelType w:val="multilevel"/>
    <w:tmpl w:val="C83A15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1328F7"/>
    <w:multiLevelType w:val="hybridMultilevel"/>
    <w:tmpl w:val="1E980D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C714950"/>
    <w:multiLevelType w:val="hybridMultilevel"/>
    <w:tmpl w:val="B154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E997C05"/>
    <w:multiLevelType w:val="hybridMultilevel"/>
    <w:tmpl w:val="2528F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9"/>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17"/>
    <w:rsid w:val="00013A91"/>
    <w:rsid w:val="00025EE2"/>
    <w:rsid w:val="00027096"/>
    <w:rsid w:val="00032201"/>
    <w:rsid w:val="00032693"/>
    <w:rsid w:val="00040658"/>
    <w:rsid w:val="00043774"/>
    <w:rsid w:val="00046264"/>
    <w:rsid w:val="00046824"/>
    <w:rsid w:val="000602A4"/>
    <w:rsid w:val="0008113C"/>
    <w:rsid w:val="000864B5"/>
    <w:rsid w:val="00092BD9"/>
    <w:rsid w:val="000A2CFA"/>
    <w:rsid w:val="000A50D9"/>
    <w:rsid w:val="000C0668"/>
    <w:rsid w:val="000D0AE8"/>
    <w:rsid w:val="000E3569"/>
    <w:rsid w:val="000F1A0C"/>
    <w:rsid w:val="000F3A2A"/>
    <w:rsid w:val="000F5109"/>
    <w:rsid w:val="000F78A7"/>
    <w:rsid w:val="000F7D33"/>
    <w:rsid w:val="00106E66"/>
    <w:rsid w:val="0012477D"/>
    <w:rsid w:val="001544AD"/>
    <w:rsid w:val="00172CFC"/>
    <w:rsid w:val="00176F68"/>
    <w:rsid w:val="00185AE5"/>
    <w:rsid w:val="001955BF"/>
    <w:rsid w:val="001A19E9"/>
    <w:rsid w:val="001A2868"/>
    <w:rsid w:val="001A6930"/>
    <w:rsid w:val="001B4AA2"/>
    <w:rsid w:val="001C4AF8"/>
    <w:rsid w:val="001D09C1"/>
    <w:rsid w:val="001E348F"/>
    <w:rsid w:val="001E59FD"/>
    <w:rsid w:val="001F3391"/>
    <w:rsid w:val="00213A3D"/>
    <w:rsid w:val="002233E5"/>
    <w:rsid w:val="002309EB"/>
    <w:rsid w:val="00241503"/>
    <w:rsid w:val="00254872"/>
    <w:rsid w:val="00255876"/>
    <w:rsid w:val="002600D2"/>
    <w:rsid w:val="00265DC4"/>
    <w:rsid w:val="00266A1E"/>
    <w:rsid w:val="00273240"/>
    <w:rsid w:val="00285EBB"/>
    <w:rsid w:val="00297930"/>
    <w:rsid w:val="002A4957"/>
    <w:rsid w:val="002C6476"/>
    <w:rsid w:val="002D306B"/>
    <w:rsid w:val="002F0509"/>
    <w:rsid w:val="002F7C2B"/>
    <w:rsid w:val="002F7D71"/>
    <w:rsid w:val="00301D9A"/>
    <w:rsid w:val="003048A2"/>
    <w:rsid w:val="00306C60"/>
    <w:rsid w:val="003214A9"/>
    <w:rsid w:val="00331845"/>
    <w:rsid w:val="00335116"/>
    <w:rsid w:val="00345040"/>
    <w:rsid w:val="0035034C"/>
    <w:rsid w:val="00353755"/>
    <w:rsid w:val="003615D0"/>
    <w:rsid w:val="0036412D"/>
    <w:rsid w:val="00364D84"/>
    <w:rsid w:val="00372BEC"/>
    <w:rsid w:val="00393C1E"/>
    <w:rsid w:val="0039407A"/>
    <w:rsid w:val="003A06E3"/>
    <w:rsid w:val="003B0304"/>
    <w:rsid w:val="003B279F"/>
    <w:rsid w:val="003B4914"/>
    <w:rsid w:val="003C25A3"/>
    <w:rsid w:val="00401372"/>
    <w:rsid w:val="004129CD"/>
    <w:rsid w:val="00414179"/>
    <w:rsid w:val="00417333"/>
    <w:rsid w:val="00422641"/>
    <w:rsid w:val="00423E28"/>
    <w:rsid w:val="00434DBB"/>
    <w:rsid w:val="004368D4"/>
    <w:rsid w:val="0046625A"/>
    <w:rsid w:val="0047699A"/>
    <w:rsid w:val="00484C7D"/>
    <w:rsid w:val="00485B9D"/>
    <w:rsid w:val="00493A66"/>
    <w:rsid w:val="00496689"/>
    <w:rsid w:val="004A3B0D"/>
    <w:rsid w:val="004C22CD"/>
    <w:rsid w:val="004C2779"/>
    <w:rsid w:val="004D5960"/>
    <w:rsid w:val="004F1938"/>
    <w:rsid w:val="004F36C9"/>
    <w:rsid w:val="005005D2"/>
    <w:rsid w:val="005078EF"/>
    <w:rsid w:val="00514BD6"/>
    <w:rsid w:val="00520DEE"/>
    <w:rsid w:val="00537599"/>
    <w:rsid w:val="00537B27"/>
    <w:rsid w:val="005433A0"/>
    <w:rsid w:val="005436BB"/>
    <w:rsid w:val="005436DF"/>
    <w:rsid w:val="0054554B"/>
    <w:rsid w:val="005459C4"/>
    <w:rsid w:val="0054751D"/>
    <w:rsid w:val="00557CB3"/>
    <w:rsid w:val="0057464F"/>
    <w:rsid w:val="005804E7"/>
    <w:rsid w:val="005908DA"/>
    <w:rsid w:val="0059712C"/>
    <w:rsid w:val="005A1D8A"/>
    <w:rsid w:val="005A3245"/>
    <w:rsid w:val="005B2FB5"/>
    <w:rsid w:val="005B6904"/>
    <w:rsid w:val="005C3360"/>
    <w:rsid w:val="005D52A6"/>
    <w:rsid w:val="005E1478"/>
    <w:rsid w:val="005F51F2"/>
    <w:rsid w:val="00605050"/>
    <w:rsid w:val="0060509D"/>
    <w:rsid w:val="00611925"/>
    <w:rsid w:val="00617EBD"/>
    <w:rsid w:val="00621B47"/>
    <w:rsid w:val="006235EE"/>
    <w:rsid w:val="00634CB9"/>
    <w:rsid w:val="006356CE"/>
    <w:rsid w:val="006400B3"/>
    <w:rsid w:val="0065482F"/>
    <w:rsid w:val="00655CEB"/>
    <w:rsid w:val="00664AB1"/>
    <w:rsid w:val="00667784"/>
    <w:rsid w:val="00675C65"/>
    <w:rsid w:val="0068088D"/>
    <w:rsid w:val="00707A6E"/>
    <w:rsid w:val="00707C6D"/>
    <w:rsid w:val="007302C4"/>
    <w:rsid w:val="00753DF6"/>
    <w:rsid w:val="007555D0"/>
    <w:rsid w:val="00755FE1"/>
    <w:rsid w:val="00764398"/>
    <w:rsid w:val="00766436"/>
    <w:rsid w:val="00773AB7"/>
    <w:rsid w:val="007751B0"/>
    <w:rsid w:val="00787280"/>
    <w:rsid w:val="007A1DCB"/>
    <w:rsid w:val="007A780C"/>
    <w:rsid w:val="007C31C5"/>
    <w:rsid w:val="007D4647"/>
    <w:rsid w:val="0080488C"/>
    <w:rsid w:val="00812AEF"/>
    <w:rsid w:val="00817746"/>
    <w:rsid w:val="00820199"/>
    <w:rsid w:val="0082503F"/>
    <w:rsid w:val="00851A37"/>
    <w:rsid w:val="00855B94"/>
    <w:rsid w:val="00856E57"/>
    <w:rsid w:val="008612EF"/>
    <w:rsid w:val="008755F7"/>
    <w:rsid w:val="00882017"/>
    <w:rsid w:val="00883F9E"/>
    <w:rsid w:val="0088532D"/>
    <w:rsid w:val="008A6416"/>
    <w:rsid w:val="008B099C"/>
    <w:rsid w:val="008C034E"/>
    <w:rsid w:val="008C47D6"/>
    <w:rsid w:val="008C5181"/>
    <w:rsid w:val="008C7328"/>
    <w:rsid w:val="008D6FF4"/>
    <w:rsid w:val="008E0ACC"/>
    <w:rsid w:val="008F54F6"/>
    <w:rsid w:val="0090639D"/>
    <w:rsid w:val="00913C03"/>
    <w:rsid w:val="009154BF"/>
    <w:rsid w:val="009231F4"/>
    <w:rsid w:val="00926AE4"/>
    <w:rsid w:val="009318D8"/>
    <w:rsid w:val="00945CE2"/>
    <w:rsid w:val="00950D54"/>
    <w:rsid w:val="00960A89"/>
    <w:rsid w:val="009637B8"/>
    <w:rsid w:val="0098514B"/>
    <w:rsid w:val="00991945"/>
    <w:rsid w:val="009A0D23"/>
    <w:rsid w:val="009B1C2E"/>
    <w:rsid w:val="009C19D6"/>
    <w:rsid w:val="009D3EC1"/>
    <w:rsid w:val="009D452B"/>
    <w:rsid w:val="009D4E61"/>
    <w:rsid w:val="009D5F41"/>
    <w:rsid w:val="009F0958"/>
    <w:rsid w:val="00A05DCF"/>
    <w:rsid w:val="00A1607F"/>
    <w:rsid w:val="00A175E3"/>
    <w:rsid w:val="00A40E2A"/>
    <w:rsid w:val="00A45019"/>
    <w:rsid w:val="00A60657"/>
    <w:rsid w:val="00A65E99"/>
    <w:rsid w:val="00AA052B"/>
    <w:rsid w:val="00AA503F"/>
    <w:rsid w:val="00AB1FF9"/>
    <w:rsid w:val="00AB55CC"/>
    <w:rsid w:val="00AC0C5E"/>
    <w:rsid w:val="00AC45D8"/>
    <w:rsid w:val="00AC528E"/>
    <w:rsid w:val="00AD1F91"/>
    <w:rsid w:val="00AD5A2F"/>
    <w:rsid w:val="00AE09EB"/>
    <w:rsid w:val="00AE3D5E"/>
    <w:rsid w:val="00AE799E"/>
    <w:rsid w:val="00B04369"/>
    <w:rsid w:val="00B12FD4"/>
    <w:rsid w:val="00B13B8A"/>
    <w:rsid w:val="00B26CFC"/>
    <w:rsid w:val="00B30B14"/>
    <w:rsid w:val="00B3427B"/>
    <w:rsid w:val="00B51E9D"/>
    <w:rsid w:val="00B57B4E"/>
    <w:rsid w:val="00B82960"/>
    <w:rsid w:val="00B870C5"/>
    <w:rsid w:val="00B934C9"/>
    <w:rsid w:val="00BA5316"/>
    <w:rsid w:val="00BB1BDD"/>
    <w:rsid w:val="00BB404F"/>
    <w:rsid w:val="00BD6400"/>
    <w:rsid w:val="00BD6511"/>
    <w:rsid w:val="00BE7D12"/>
    <w:rsid w:val="00BF0827"/>
    <w:rsid w:val="00BF2B44"/>
    <w:rsid w:val="00BF5D00"/>
    <w:rsid w:val="00C00522"/>
    <w:rsid w:val="00C3242A"/>
    <w:rsid w:val="00C36328"/>
    <w:rsid w:val="00C36D37"/>
    <w:rsid w:val="00C505EE"/>
    <w:rsid w:val="00C5285B"/>
    <w:rsid w:val="00C7074E"/>
    <w:rsid w:val="00C72171"/>
    <w:rsid w:val="00C851B2"/>
    <w:rsid w:val="00C953A0"/>
    <w:rsid w:val="00CA213F"/>
    <w:rsid w:val="00CB4A2E"/>
    <w:rsid w:val="00CC18F0"/>
    <w:rsid w:val="00CC284E"/>
    <w:rsid w:val="00CC303F"/>
    <w:rsid w:val="00CD47A1"/>
    <w:rsid w:val="00CD74FE"/>
    <w:rsid w:val="00CE6A3F"/>
    <w:rsid w:val="00CF1709"/>
    <w:rsid w:val="00CF7A63"/>
    <w:rsid w:val="00D01C22"/>
    <w:rsid w:val="00D030A4"/>
    <w:rsid w:val="00D07F79"/>
    <w:rsid w:val="00D13525"/>
    <w:rsid w:val="00D21D78"/>
    <w:rsid w:val="00D224C3"/>
    <w:rsid w:val="00D43050"/>
    <w:rsid w:val="00D51961"/>
    <w:rsid w:val="00D53526"/>
    <w:rsid w:val="00D65DED"/>
    <w:rsid w:val="00D65EFF"/>
    <w:rsid w:val="00D660C5"/>
    <w:rsid w:val="00D71F11"/>
    <w:rsid w:val="00D87F53"/>
    <w:rsid w:val="00DA042D"/>
    <w:rsid w:val="00DC12E0"/>
    <w:rsid w:val="00DC3AF1"/>
    <w:rsid w:val="00DC43BE"/>
    <w:rsid w:val="00DE478F"/>
    <w:rsid w:val="00DF080F"/>
    <w:rsid w:val="00DF17B3"/>
    <w:rsid w:val="00E0460B"/>
    <w:rsid w:val="00E051C0"/>
    <w:rsid w:val="00E235EE"/>
    <w:rsid w:val="00E27E2F"/>
    <w:rsid w:val="00E35A58"/>
    <w:rsid w:val="00E50410"/>
    <w:rsid w:val="00E545EC"/>
    <w:rsid w:val="00E56FBB"/>
    <w:rsid w:val="00E63D22"/>
    <w:rsid w:val="00E7483E"/>
    <w:rsid w:val="00E87637"/>
    <w:rsid w:val="00EA5F70"/>
    <w:rsid w:val="00EC3BF4"/>
    <w:rsid w:val="00ED1A09"/>
    <w:rsid w:val="00ED2B33"/>
    <w:rsid w:val="00ED3229"/>
    <w:rsid w:val="00EE79C1"/>
    <w:rsid w:val="00EF42D7"/>
    <w:rsid w:val="00F1128F"/>
    <w:rsid w:val="00F13245"/>
    <w:rsid w:val="00F13D59"/>
    <w:rsid w:val="00F30647"/>
    <w:rsid w:val="00F354E4"/>
    <w:rsid w:val="00F3691C"/>
    <w:rsid w:val="00F433AB"/>
    <w:rsid w:val="00F441C0"/>
    <w:rsid w:val="00F44FBE"/>
    <w:rsid w:val="00F53D9B"/>
    <w:rsid w:val="00F63B73"/>
    <w:rsid w:val="00F94AAA"/>
    <w:rsid w:val="00FB0313"/>
    <w:rsid w:val="00FB11E5"/>
    <w:rsid w:val="00FB1C79"/>
    <w:rsid w:val="00FC2900"/>
    <w:rsid w:val="00FD1174"/>
    <w:rsid w:val="00FE6765"/>
    <w:rsid w:val="00FF1B72"/>
    <w:rsid w:val="00FF7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2C151AE"/>
  <w15:chartTrackingRefBased/>
  <w15:docId w15:val="{7C1E5584-111E-473F-9B95-0750F39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alibr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17"/>
    <w:rPr>
      <w:rFonts w:ascii="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17"/>
    <w:pPr>
      <w:spacing w:before="100" w:beforeAutospacing="1" w:after="100" w:afterAutospacing="1"/>
    </w:pPr>
  </w:style>
  <w:style w:type="paragraph" w:styleId="Header">
    <w:name w:val="header"/>
    <w:basedOn w:val="Normal"/>
    <w:link w:val="HeaderChar"/>
    <w:uiPriority w:val="99"/>
    <w:unhideWhenUsed/>
    <w:rsid w:val="00F53D9B"/>
    <w:pPr>
      <w:tabs>
        <w:tab w:val="center" w:pos="4513"/>
        <w:tab w:val="right" w:pos="9026"/>
      </w:tabs>
    </w:pPr>
  </w:style>
  <w:style w:type="character" w:customStyle="1" w:styleId="HeaderChar">
    <w:name w:val="Header Char"/>
    <w:basedOn w:val="DefaultParagraphFont"/>
    <w:link w:val="Header"/>
    <w:uiPriority w:val="99"/>
    <w:rsid w:val="00F53D9B"/>
    <w:rPr>
      <w:rFonts w:ascii="Times New Roman" w:hAnsi="Times New Roman" w:cs="Times New Roman"/>
      <w:szCs w:val="24"/>
      <w:lang w:eastAsia="en-GB"/>
    </w:rPr>
  </w:style>
  <w:style w:type="paragraph" w:styleId="Footer">
    <w:name w:val="footer"/>
    <w:basedOn w:val="Normal"/>
    <w:link w:val="FooterChar"/>
    <w:uiPriority w:val="99"/>
    <w:unhideWhenUsed/>
    <w:rsid w:val="00F53D9B"/>
    <w:pPr>
      <w:tabs>
        <w:tab w:val="center" w:pos="4513"/>
        <w:tab w:val="right" w:pos="9026"/>
      </w:tabs>
    </w:pPr>
  </w:style>
  <w:style w:type="character" w:customStyle="1" w:styleId="FooterChar">
    <w:name w:val="Footer Char"/>
    <w:basedOn w:val="DefaultParagraphFont"/>
    <w:link w:val="Footer"/>
    <w:uiPriority w:val="99"/>
    <w:rsid w:val="00F53D9B"/>
    <w:rPr>
      <w:rFonts w:ascii="Times New Roman" w:hAnsi="Times New Roman" w:cs="Times New Roman"/>
      <w:szCs w:val="24"/>
      <w:lang w:eastAsia="en-GB"/>
    </w:rPr>
  </w:style>
  <w:style w:type="character" w:styleId="Hyperlink">
    <w:name w:val="Hyperlink"/>
    <w:basedOn w:val="DefaultParagraphFont"/>
    <w:uiPriority w:val="99"/>
    <w:unhideWhenUsed/>
    <w:rsid w:val="00092BD9"/>
    <w:rPr>
      <w:color w:val="0563C1" w:themeColor="hyperlink"/>
      <w:u w:val="single"/>
    </w:rPr>
  </w:style>
  <w:style w:type="paragraph" w:styleId="ListParagraph">
    <w:name w:val="List Paragraph"/>
    <w:basedOn w:val="Normal"/>
    <w:uiPriority w:val="34"/>
    <w:qFormat/>
    <w:rsid w:val="0082503F"/>
    <w:pPr>
      <w:ind w:left="720"/>
    </w:pPr>
    <w:rPr>
      <w:rFonts w:ascii="Calibri" w:hAnsi="Calibri"/>
      <w:sz w:val="22"/>
      <w:szCs w:val="22"/>
      <w:lang w:eastAsia="en-US"/>
    </w:rPr>
  </w:style>
  <w:style w:type="paragraph" w:styleId="PlainText">
    <w:name w:val="Plain Text"/>
    <w:basedOn w:val="Normal"/>
    <w:link w:val="PlainTextChar"/>
    <w:uiPriority w:val="99"/>
    <w:unhideWhenUsed/>
    <w:rsid w:val="007D4647"/>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7D4647"/>
    <w:rPr>
      <w:rFonts w:ascii="Calibri" w:hAnsi="Calibri" w:cstheme="minorBidi"/>
      <w:sz w:val="22"/>
      <w:szCs w:val="21"/>
    </w:rPr>
  </w:style>
  <w:style w:type="table" w:styleId="TableGrid">
    <w:name w:val="Table Grid"/>
    <w:basedOn w:val="TableNormal"/>
    <w:uiPriority w:val="39"/>
    <w:rsid w:val="00265DC4"/>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DC4"/>
    <w:pPr>
      <w:autoSpaceDE w:val="0"/>
      <w:autoSpaceDN w:val="0"/>
      <w:adjustRightInd w:val="0"/>
    </w:pPr>
    <w:rPr>
      <w:rFonts w:cs="Arial"/>
      <w:color w:val="000000"/>
      <w:szCs w:val="24"/>
    </w:rPr>
  </w:style>
  <w:style w:type="character" w:customStyle="1" w:styleId="eop">
    <w:name w:val="eop"/>
    <w:basedOn w:val="DefaultParagraphFont"/>
    <w:rsid w:val="00F3691C"/>
  </w:style>
  <w:style w:type="paragraph" w:customStyle="1" w:styleId="xmsonormal">
    <w:name w:val="x_msonormal"/>
    <w:basedOn w:val="Normal"/>
    <w:uiPriority w:val="99"/>
    <w:rsid w:val="00D4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804">
      <w:bodyDiv w:val="1"/>
      <w:marLeft w:val="0"/>
      <w:marRight w:val="0"/>
      <w:marTop w:val="0"/>
      <w:marBottom w:val="0"/>
      <w:divBdr>
        <w:top w:val="none" w:sz="0" w:space="0" w:color="auto"/>
        <w:left w:val="none" w:sz="0" w:space="0" w:color="auto"/>
        <w:bottom w:val="none" w:sz="0" w:space="0" w:color="auto"/>
        <w:right w:val="none" w:sz="0" w:space="0" w:color="auto"/>
      </w:divBdr>
    </w:div>
    <w:div w:id="341858448">
      <w:bodyDiv w:val="1"/>
      <w:marLeft w:val="0"/>
      <w:marRight w:val="0"/>
      <w:marTop w:val="0"/>
      <w:marBottom w:val="0"/>
      <w:divBdr>
        <w:top w:val="none" w:sz="0" w:space="0" w:color="auto"/>
        <w:left w:val="none" w:sz="0" w:space="0" w:color="auto"/>
        <w:bottom w:val="none" w:sz="0" w:space="0" w:color="auto"/>
        <w:right w:val="none" w:sz="0" w:space="0" w:color="auto"/>
      </w:divBdr>
    </w:div>
    <w:div w:id="382565199">
      <w:bodyDiv w:val="1"/>
      <w:marLeft w:val="0"/>
      <w:marRight w:val="0"/>
      <w:marTop w:val="0"/>
      <w:marBottom w:val="0"/>
      <w:divBdr>
        <w:top w:val="none" w:sz="0" w:space="0" w:color="auto"/>
        <w:left w:val="none" w:sz="0" w:space="0" w:color="auto"/>
        <w:bottom w:val="none" w:sz="0" w:space="0" w:color="auto"/>
        <w:right w:val="none" w:sz="0" w:space="0" w:color="auto"/>
      </w:divBdr>
    </w:div>
    <w:div w:id="403451425">
      <w:bodyDiv w:val="1"/>
      <w:marLeft w:val="0"/>
      <w:marRight w:val="0"/>
      <w:marTop w:val="0"/>
      <w:marBottom w:val="0"/>
      <w:divBdr>
        <w:top w:val="none" w:sz="0" w:space="0" w:color="auto"/>
        <w:left w:val="none" w:sz="0" w:space="0" w:color="auto"/>
        <w:bottom w:val="none" w:sz="0" w:space="0" w:color="auto"/>
        <w:right w:val="none" w:sz="0" w:space="0" w:color="auto"/>
      </w:divBdr>
    </w:div>
    <w:div w:id="731775646">
      <w:bodyDiv w:val="1"/>
      <w:marLeft w:val="0"/>
      <w:marRight w:val="0"/>
      <w:marTop w:val="0"/>
      <w:marBottom w:val="0"/>
      <w:divBdr>
        <w:top w:val="none" w:sz="0" w:space="0" w:color="auto"/>
        <w:left w:val="none" w:sz="0" w:space="0" w:color="auto"/>
        <w:bottom w:val="none" w:sz="0" w:space="0" w:color="auto"/>
        <w:right w:val="none" w:sz="0" w:space="0" w:color="auto"/>
      </w:divBdr>
    </w:div>
    <w:div w:id="938373430">
      <w:bodyDiv w:val="1"/>
      <w:marLeft w:val="0"/>
      <w:marRight w:val="0"/>
      <w:marTop w:val="0"/>
      <w:marBottom w:val="0"/>
      <w:divBdr>
        <w:top w:val="none" w:sz="0" w:space="0" w:color="auto"/>
        <w:left w:val="none" w:sz="0" w:space="0" w:color="auto"/>
        <w:bottom w:val="none" w:sz="0" w:space="0" w:color="auto"/>
        <w:right w:val="none" w:sz="0" w:space="0" w:color="auto"/>
      </w:divBdr>
    </w:div>
    <w:div w:id="1122962161">
      <w:bodyDiv w:val="1"/>
      <w:marLeft w:val="0"/>
      <w:marRight w:val="0"/>
      <w:marTop w:val="0"/>
      <w:marBottom w:val="0"/>
      <w:divBdr>
        <w:top w:val="none" w:sz="0" w:space="0" w:color="auto"/>
        <w:left w:val="none" w:sz="0" w:space="0" w:color="auto"/>
        <w:bottom w:val="none" w:sz="0" w:space="0" w:color="auto"/>
        <w:right w:val="none" w:sz="0" w:space="0" w:color="auto"/>
      </w:divBdr>
    </w:div>
    <w:div w:id="1146162045">
      <w:bodyDiv w:val="1"/>
      <w:marLeft w:val="0"/>
      <w:marRight w:val="0"/>
      <w:marTop w:val="0"/>
      <w:marBottom w:val="0"/>
      <w:divBdr>
        <w:top w:val="none" w:sz="0" w:space="0" w:color="auto"/>
        <w:left w:val="none" w:sz="0" w:space="0" w:color="auto"/>
        <w:bottom w:val="none" w:sz="0" w:space="0" w:color="auto"/>
        <w:right w:val="none" w:sz="0" w:space="0" w:color="auto"/>
      </w:divBdr>
    </w:div>
    <w:div w:id="1537112973">
      <w:bodyDiv w:val="1"/>
      <w:marLeft w:val="0"/>
      <w:marRight w:val="0"/>
      <w:marTop w:val="0"/>
      <w:marBottom w:val="0"/>
      <w:divBdr>
        <w:top w:val="none" w:sz="0" w:space="0" w:color="auto"/>
        <w:left w:val="none" w:sz="0" w:space="0" w:color="auto"/>
        <w:bottom w:val="none" w:sz="0" w:space="0" w:color="auto"/>
        <w:right w:val="none" w:sz="0" w:space="0" w:color="auto"/>
      </w:divBdr>
    </w:div>
    <w:div w:id="1559122167">
      <w:bodyDiv w:val="1"/>
      <w:marLeft w:val="0"/>
      <w:marRight w:val="0"/>
      <w:marTop w:val="0"/>
      <w:marBottom w:val="0"/>
      <w:divBdr>
        <w:top w:val="none" w:sz="0" w:space="0" w:color="auto"/>
        <w:left w:val="none" w:sz="0" w:space="0" w:color="auto"/>
        <w:bottom w:val="none" w:sz="0" w:space="0" w:color="auto"/>
        <w:right w:val="none" w:sz="0" w:space="0" w:color="auto"/>
      </w:divBdr>
    </w:div>
    <w:div w:id="18676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mailto:publicliaison@belfasttrust.hscn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A4F3-D72F-4A83-8385-A8FC148C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OKane, Lorraine</dc:creator>
  <cp:keywords/>
  <dc:description/>
  <cp:lastModifiedBy>OKane, Lorraine</cp:lastModifiedBy>
  <cp:revision>3</cp:revision>
  <cp:lastPrinted>2022-01-07T11:37:00Z</cp:lastPrinted>
  <dcterms:created xsi:type="dcterms:W3CDTF">2025-09-03T14:24:00Z</dcterms:created>
  <dcterms:modified xsi:type="dcterms:W3CDTF">2025-09-04T07:42:00Z</dcterms:modified>
</cp:coreProperties>
</file>