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50D6B77F" wp14:editId="0D6C8FC9">
                <wp:simplePos x="0" y="0"/>
                <wp:positionH relativeFrom="column">
                  <wp:posOffset>-362101</wp:posOffset>
                </wp:positionH>
                <wp:positionV relativeFrom="paragraph">
                  <wp:posOffset>-362102</wp:posOffset>
                </wp:positionV>
                <wp:extent cx="6100876" cy="446227"/>
                <wp:effectExtent l="19050" t="19050" r="14605" b="1143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0876" cy="446227"/>
                        </a:xfrm>
                        <a:prstGeom prst="rect">
                          <a:avLst/>
                        </a:prstGeom>
                        <a:solidFill>
                          <a:srgbClr val="FFFFFF"/>
                        </a:solidFill>
                        <a:ln w="38100">
                          <a:solidFill>
                            <a:srgbClr val="4BACC6"/>
                          </a:solidFill>
                          <a:miter lim="800000"/>
                          <a:headEnd/>
                          <a:tailEnd/>
                        </a:ln>
                      </wps:spPr>
                      <wps:txbx>
                        <w:txbxContent>
                          <w:p w:rsidR="008544F7" w:rsidRPr="009F7129" w:rsidRDefault="008544F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D6B77F" id="_x0000_t202" coordsize="21600,21600" o:spt="202" path="m,l,21600r21600,l21600,xe">
                <v:stroke joinstyle="miter"/>
                <v:path gradientshapeok="t" o:connecttype="rect"/>
              </v:shapetype>
              <v:shape id="Text Box 15" o:spid="_x0000_s1026" type="#_x0000_t202" style="position:absolute;left:0;text-align:left;margin-left:-28.5pt;margin-top:-28.5pt;width:480.4pt;height:35.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" strokecolor="#4bacc6" strokeweight="3pt">
                <v:textbox>
                  <w:txbxContent>
                    <w:p w:rsidR="008544F7" w:rsidRPr="009F7129" w:rsidRDefault="008544F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lastRenderedPageBreak/>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t xml:space="preserve">Ref </w:t>
      </w:r>
      <w:r>
        <w:rPr>
          <w:b/>
        </w:rPr>
        <w:t>No</w:t>
      </w:r>
      <w:r w:rsidRPr="00F155AF">
        <w:rPr>
          <w:b/>
        </w:rPr>
        <w:t>:</w:t>
      </w:r>
      <w:r w:rsidR="00B24B6E">
        <w:rPr>
          <w:rFonts w:cs="Arial"/>
          <w:b/>
          <w:bCs/>
          <w:sz w:val="24"/>
        </w:rPr>
        <w:t xml:space="preserve"> ES Apr 25 07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50D6B781" wp14:editId="50D6B782">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476524" w:rsidP="002E327F">
            <w:pPr>
              <w:spacing w:after="0"/>
              <w:rPr>
                <w:rFonts w:cs="Arial"/>
                <w:color w:val="385623"/>
                <w:sz w:val="24"/>
              </w:rPr>
            </w:pPr>
            <w:r w:rsidRPr="00E10971">
              <w:rPr>
                <w:rFonts w:cs="Arial"/>
                <w:lang w:eastAsia="en-GB"/>
              </w:rPr>
              <w:t>Policy to enable Infusional Services nursing staff to consent patients prior to Peripheral Inserted Central Catheter (PICC) insertion</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lastRenderedPageBreak/>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476524" w:rsidRDefault="00467C0D" w:rsidP="00F155AF">
            <w:pPr>
              <w:spacing w:after="0"/>
              <w:rPr>
                <w:rFonts w:cs="Arial"/>
                <w:strike/>
                <w:sz w:val="24"/>
              </w:rPr>
            </w:pPr>
            <w:r w:rsidRPr="00476524">
              <w:rPr>
                <w:rFonts w:cs="Arial"/>
                <w:strike/>
                <w:sz w:val="24"/>
              </w:rPr>
              <w:t>New</w:t>
            </w:r>
          </w:p>
        </w:tc>
        <w:tc>
          <w:tcPr>
            <w:tcW w:w="813" w:type="pct"/>
            <w:gridSpan w:val="2"/>
            <w:tcBorders>
              <w:top w:val="single" w:sz="2" w:space="0" w:color="auto"/>
              <w:bottom w:val="single" w:sz="2" w:space="0" w:color="auto"/>
            </w:tcBorders>
            <w:shd w:val="clear" w:color="auto" w:fill="EDF7F9"/>
          </w:tcPr>
          <w:p w:rsidR="00467C0D" w:rsidRPr="00476524" w:rsidRDefault="00467C0D" w:rsidP="00F155AF">
            <w:pPr>
              <w:spacing w:after="0"/>
              <w:rPr>
                <w:rFonts w:cs="Arial"/>
                <w:strike/>
                <w:sz w:val="24"/>
              </w:rPr>
            </w:pPr>
            <w:r w:rsidRPr="00476524">
              <w:rPr>
                <w:rFonts w:cs="Arial"/>
                <w:strike/>
                <w:sz w:val="24"/>
              </w:rPr>
              <w:t>Existing</w:t>
            </w:r>
          </w:p>
        </w:tc>
        <w:tc>
          <w:tcPr>
            <w:tcW w:w="858" w:type="pct"/>
            <w:gridSpan w:val="3"/>
            <w:tcBorders>
              <w:top w:val="single" w:sz="2" w:space="0" w:color="auto"/>
              <w:bottom w:val="single" w:sz="2" w:space="0" w:color="auto"/>
            </w:tcBorders>
            <w:shd w:val="clear" w:color="auto" w:fill="EDF7F9"/>
          </w:tcPr>
          <w:p w:rsidR="00467C0D" w:rsidRPr="001957DD" w:rsidRDefault="00467C0D" w:rsidP="00F155AF">
            <w:pPr>
              <w:spacing w:after="0"/>
              <w:rPr>
                <w:rFonts w:cs="Arial"/>
                <w:b/>
                <w:sz w:val="24"/>
                <w:u w:val="single"/>
              </w:rPr>
            </w:pPr>
            <w:r w:rsidRPr="001957DD">
              <w:rPr>
                <w:rFonts w:cs="Arial"/>
                <w:b/>
                <w:sz w:val="24"/>
                <w:u w:val="single"/>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476524" w:rsidRDefault="00467C0D" w:rsidP="003D5312">
            <w:pPr>
              <w:spacing w:after="0" w:line="240" w:lineRule="auto"/>
              <w:rPr>
                <w:rFonts w:cs="Arial"/>
                <w:b/>
                <w:sz w:val="24"/>
                <w:u w:val="single"/>
              </w:rPr>
            </w:pPr>
            <w:r w:rsidRPr="00476524">
              <w:rPr>
                <w:rFonts w:cs="Arial"/>
                <w:b/>
                <w:sz w:val="24"/>
                <w:u w:val="single"/>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476524" w:rsidRPr="00E85786" w:rsidRDefault="00476524" w:rsidP="00476524">
            <w:pPr>
              <w:spacing w:after="0" w:line="240" w:lineRule="auto"/>
              <w:rPr>
                <w:rFonts w:cs="Arial"/>
                <w:b/>
                <w:sz w:val="24"/>
              </w:rPr>
            </w:pPr>
            <w:r w:rsidRPr="00E85786">
              <w:rPr>
                <w:rFonts w:cs="Arial"/>
                <w:b/>
                <w:sz w:val="24"/>
              </w:rPr>
              <w:t>Background</w:t>
            </w:r>
            <w:r w:rsidR="00B24B6E" w:rsidRPr="00E85786">
              <w:rPr>
                <w:rFonts w:cs="Arial"/>
                <w:b/>
                <w:sz w:val="24"/>
              </w:rPr>
              <w:t>:</w:t>
            </w:r>
          </w:p>
          <w:p w:rsidR="00467C0D" w:rsidRPr="00E85786" w:rsidRDefault="00476524" w:rsidP="00476524">
            <w:pPr>
              <w:spacing w:after="0" w:line="240" w:lineRule="auto"/>
              <w:rPr>
                <w:rFonts w:cs="Arial"/>
                <w:sz w:val="24"/>
              </w:rPr>
            </w:pPr>
            <w:r w:rsidRPr="00E85786">
              <w:rPr>
                <w:rFonts w:cs="Arial"/>
                <w:sz w:val="24"/>
              </w:rPr>
              <w:t>It is a general legal and ethical principle that valid consent must be obtained before commencing an examination, starting treatment or physical investigation, or providing personal care.</w:t>
            </w:r>
          </w:p>
          <w:p w:rsidR="00B24B6E" w:rsidRPr="00E85786" w:rsidRDefault="00B24B6E" w:rsidP="00B24B6E">
            <w:pPr>
              <w:pStyle w:val="Default"/>
            </w:pPr>
            <w:r w:rsidRPr="00E85786">
              <w:t>This principle reflects the right of individuals to determine what happens to their own bodies, and is a fundamental part of good practice. A health or social care professional who does not respect this principle may be liable both to legal action by the person and action by their regulatory body.</w:t>
            </w:r>
          </w:p>
          <w:p w:rsidR="00B24B6E" w:rsidRPr="00E85786" w:rsidRDefault="00B24B6E" w:rsidP="00B24B6E">
            <w:pPr>
              <w:pStyle w:val="Default"/>
              <w:ind w:left="1440"/>
            </w:pPr>
          </w:p>
          <w:p w:rsidR="00E85786" w:rsidRPr="00DF7949" w:rsidRDefault="00B24B6E" w:rsidP="00DF7949">
            <w:pPr>
              <w:autoSpaceDE w:val="0"/>
              <w:autoSpaceDN w:val="0"/>
              <w:adjustRightInd w:val="0"/>
              <w:spacing w:after="0" w:line="240" w:lineRule="auto"/>
              <w:rPr>
                <w:rFonts w:cs="Arial"/>
                <w:sz w:val="24"/>
                <w:lang w:eastAsia="en-GB"/>
              </w:rPr>
            </w:pPr>
            <w:r w:rsidRPr="00DF7949">
              <w:rPr>
                <w:sz w:val="24"/>
              </w:rPr>
              <w:t xml:space="preserve">Consent is only valid if given voluntarily and accompanied by an adequate explanation, facilitating the patient to make an informed choice to accept or reject a proposed treatment (Department of Health, 2009). </w:t>
            </w:r>
            <w:r w:rsidR="008544F7" w:rsidRPr="00DF7949">
              <w:rPr>
                <w:sz w:val="24"/>
              </w:rPr>
              <w:t>The Policy reflects the service’s commitment to supporting informed</w:t>
            </w:r>
            <w:r w:rsidR="00E85786" w:rsidRPr="00DF7949">
              <w:rPr>
                <w:sz w:val="24"/>
              </w:rPr>
              <w:t xml:space="preserve"> consent and that </w:t>
            </w:r>
            <w:r w:rsidR="00E85786" w:rsidRPr="00DF7949">
              <w:rPr>
                <w:rFonts w:cs="Arial"/>
                <w:sz w:val="24"/>
                <w:lang w:eastAsia="en-GB"/>
              </w:rPr>
              <w:t>any information provided, both verbal and written, should be appropriate to the patient’s level of understanding.</w:t>
            </w:r>
          </w:p>
          <w:p w:rsidR="00E85786" w:rsidRPr="00DF7949" w:rsidRDefault="00E85786" w:rsidP="00DF7949">
            <w:pPr>
              <w:autoSpaceDE w:val="0"/>
              <w:autoSpaceDN w:val="0"/>
              <w:adjustRightInd w:val="0"/>
              <w:spacing w:after="0" w:line="240" w:lineRule="auto"/>
              <w:ind w:left="1418"/>
              <w:rPr>
                <w:rFonts w:cs="Arial"/>
                <w:sz w:val="24"/>
                <w:lang w:eastAsia="en-GB"/>
              </w:rPr>
            </w:pPr>
          </w:p>
          <w:p w:rsidR="00B24B6E" w:rsidRPr="00E85786" w:rsidRDefault="00E85786" w:rsidP="00B24B6E">
            <w:pPr>
              <w:pStyle w:val="Default"/>
            </w:pPr>
            <w:r w:rsidRPr="00E85786">
              <w:t>In keeping with these principles</w:t>
            </w:r>
            <w:r w:rsidR="008544F7" w:rsidRPr="00E85786">
              <w:t xml:space="preserve"> </w:t>
            </w:r>
            <w:r w:rsidRPr="00E85786">
              <w:t>t</w:t>
            </w:r>
            <w:r w:rsidR="008544F7" w:rsidRPr="00E85786">
              <w:t xml:space="preserve">he service understands the need to make reasonable adjustments, to provide any communication in alternative formats, to undertake translation of written material such a leaflets, </w:t>
            </w:r>
            <w:r w:rsidRPr="00E85786">
              <w:t xml:space="preserve">and </w:t>
            </w:r>
            <w:r w:rsidR="008544F7" w:rsidRPr="00E85786">
              <w:t>t</w:t>
            </w:r>
            <w:r w:rsidRPr="00E85786">
              <w:t xml:space="preserve">o utilise </w:t>
            </w:r>
            <w:r w:rsidR="008544F7" w:rsidRPr="00E85786">
              <w:t>the NI HSC Regional Interpreting Service.</w:t>
            </w:r>
            <w:r w:rsidRPr="00E85786">
              <w:t xml:space="preserve"> </w:t>
            </w:r>
            <w:r w:rsidRPr="00E85786">
              <w:rPr>
                <w:lang w:eastAsia="en-GB"/>
              </w:rPr>
              <w:t>It is not appropriate to use children or relatives to interpre</w:t>
            </w:r>
            <w:r w:rsidRPr="00B350A5">
              <w:rPr>
                <w:lang w:eastAsia="en-GB"/>
              </w:rPr>
              <w:t>t for family members who do not speak English.</w:t>
            </w:r>
          </w:p>
          <w:p w:rsidR="00B24B6E" w:rsidRPr="00E85786" w:rsidRDefault="00B24B6E" w:rsidP="00B24B6E">
            <w:pPr>
              <w:pStyle w:val="Default"/>
              <w:ind w:left="1440"/>
            </w:pPr>
          </w:p>
          <w:p w:rsidR="00B24B6E" w:rsidRPr="00E85786" w:rsidRDefault="00B24B6E" w:rsidP="00B24B6E">
            <w:pPr>
              <w:pStyle w:val="Default"/>
            </w:pPr>
            <w:r w:rsidRPr="00E85786">
              <w:t>Written consent is considered good practice before any invasive procedure, such as Peripheral Inserted Central Catheter (PICC) insertion.</w:t>
            </w:r>
          </w:p>
          <w:p w:rsidR="00E85786" w:rsidRPr="00E85786" w:rsidRDefault="00E85786" w:rsidP="00B24B6E">
            <w:pPr>
              <w:pStyle w:val="Default"/>
            </w:pPr>
          </w:p>
          <w:p w:rsidR="00E85786" w:rsidRPr="00DF7949" w:rsidRDefault="00E85786" w:rsidP="00DF7949">
            <w:pPr>
              <w:autoSpaceDE w:val="0"/>
              <w:autoSpaceDN w:val="0"/>
              <w:adjustRightInd w:val="0"/>
              <w:spacing w:after="0" w:line="240" w:lineRule="auto"/>
              <w:rPr>
                <w:rFonts w:cs="Arial"/>
                <w:sz w:val="24"/>
                <w:lang w:eastAsia="en-GB"/>
              </w:rPr>
            </w:pPr>
            <w:r w:rsidRPr="00DF7949">
              <w:rPr>
                <w:rFonts w:cs="Arial"/>
                <w:sz w:val="24"/>
                <w:lang w:eastAsia="en-GB"/>
              </w:rPr>
              <w:t>The policy recognises that obtaining informed consent is a process, not a one-off event. The patient can change their mind or withdraw consent at any time</w:t>
            </w:r>
          </w:p>
          <w:p w:rsidR="00E85786" w:rsidRPr="00E85786" w:rsidRDefault="00E85786" w:rsidP="00B24B6E">
            <w:pPr>
              <w:pStyle w:val="Default"/>
            </w:pPr>
          </w:p>
          <w:p w:rsidR="00E85786" w:rsidRPr="00E85786" w:rsidRDefault="00E85786" w:rsidP="00B24B6E">
            <w:pPr>
              <w:pStyle w:val="Default"/>
            </w:pPr>
          </w:p>
          <w:p w:rsidR="00E85786" w:rsidRPr="00E85786" w:rsidRDefault="00E85786" w:rsidP="00B24B6E">
            <w:pPr>
              <w:pStyle w:val="Default"/>
              <w:rPr>
                <w:lang w:eastAsia="en-GB"/>
              </w:rPr>
            </w:pPr>
            <w:r w:rsidRPr="00B350A5">
              <w:rPr>
                <w:lang w:eastAsia="en-GB"/>
              </w:rPr>
              <w:t>Where an adult lacks the mental capacity (either temporarily or permanently) to give or withhold consent for themselves, no one else c</w:t>
            </w:r>
            <w:r w:rsidRPr="00E85786">
              <w:rPr>
                <w:lang w:eastAsia="en-GB"/>
              </w:rPr>
              <w:t>an give consent on their behalf. However, treatment may be given if it is in the patient’s best interests, as long as it has not been refused in advance in a valid and applicable advanced directive. The patient’s best interests should be determined by a Medical Practitioner, in collaboration with the multi</w:t>
            </w:r>
            <w:r>
              <w:rPr>
                <w:lang w:eastAsia="en-GB"/>
              </w:rPr>
              <w:t>-</w:t>
            </w:r>
            <w:r w:rsidRPr="00E85786">
              <w:rPr>
                <w:lang w:eastAsia="en-GB"/>
              </w:rPr>
              <w:t>professional team and the Medical Practitioner should complete a Consent Form 4.</w:t>
            </w:r>
          </w:p>
          <w:p w:rsidR="00E85786" w:rsidRPr="00E85786" w:rsidRDefault="00E85786" w:rsidP="00B24B6E">
            <w:pPr>
              <w:pStyle w:val="Default"/>
            </w:pPr>
            <w:r w:rsidRPr="00B350A5">
              <w:rPr>
                <w:lang w:eastAsia="en-GB"/>
              </w:rPr>
              <w:t>A medical practitioner may obtain informed consent for PICC</w:t>
            </w:r>
            <w:r w:rsidRPr="00E85786">
              <w:rPr>
                <w:lang w:eastAsia="en-GB"/>
              </w:rPr>
              <w:t xml:space="preserve"> placement in cases were the patient is under 16 years of age. A young person’s ability to make decisions depends more on their ability to understand and weigh up options, than on their age.</w:t>
            </w:r>
          </w:p>
          <w:p w:rsidR="00B24B6E" w:rsidRPr="00E85786" w:rsidRDefault="00B24B6E" w:rsidP="00476524">
            <w:pPr>
              <w:spacing w:after="0" w:line="240" w:lineRule="auto"/>
              <w:rPr>
                <w:rFonts w:cs="Arial"/>
                <w:sz w:val="24"/>
              </w:rPr>
            </w:pPr>
          </w:p>
          <w:p w:rsidR="00476524" w:rsidRPr="00E85786" w:rsidRDefault="00476524" w:rsidP="00476524">
            <w:pPr>
              <w:spacing w:after="0" w:line="240" w:lineRule="auto"/>
              <w:rPr>
                <w:rFonts w:cs="Arial"/>
                <w:b/>
                <w:sz w:val="24"/>
              </w:rPr>
            </w:pPr>
            <w:r w:rsidRPr="00E85786">
              <w:rPr>
                <w:rFonts w:cs="Arial"/>
                <w:b/>
                <w:sz w:val="24"/>
              </w:rPr>
              <w:t>Purpose</w:t>
            </w:r>
            <w:r w:rsidR="00B24B6E" w:rsidRPr="00E85786">
              <w:rPr>
                <w:rFonts w:cs="Arial"/>
                <w:b/>
                <w:sz w:val="24"/>
              </w:rPr>
              <w:t>:</w:t>
            </w:r>
          </w:p>
          <w:p w:rsidR="00476524" w:rsidRPr="00E85786" w:rsidRDefault="00476524" w:rsidP="00476524">
            <w:pPr>
              <w:spacing w:after="0" w:line="240" w:lineRule="auto"/>
              <w:rPr>
                <w:rFonts w:cs="Arial"/>
                <w:sz w:val="24"/>
              </w:rPr>
            </w:pPr>
            <w:r w:rsidRPr="00E85786">
              <w:rPr>
                <w:rFonts w:cs="Arial"/>
                <w:sz w:val="24"/>
              </w:rPr>
              <w:lastRenderedPageBreak/>
              <w:t>The BHSCT recognises the right of every individual receiving Trust services to be given appropriate information to help them make informed choices about their care and treatment. This policy provides evidence based guidelines for Infusional Services nurses with regard to obtaining consent for PICC insertion.</w:t>
            </w:r>
          </w:p>
          <w:p w:rsidR="00B24B6E" w:rsidRPr="00E85786" w:rsidRDefault="00B24B6E" w:rsidP="00476524">
            <w:pPr>
              <w:spacing w:after="0" w:line="240" w:lineRule="auto"/>
              <w:rPr>
                <w:rFonts w:cs="Arial"/>
                <w:sz w:val="24"/>
              </w:rPr>
            </w:pPr>
          </w:p>
          <w:p w:rsidR="00476524" w:rsidRPr="00E85786" w:rsidRDefault="00476524" w:rsidP="00476524">
            <w:pPr>
              <w:spacing w:after="0" w:line="240" w:lineRule="auto"/>
              <w:rPr>
                <w:rFonts w:cs="Arial"/>
                <w:b/>
                <w:sz w:val="24"/>
              </w:rPr>
            </w:pPr>
            <w:r w:rsidRPr="00E85786">
              <w:rPr>
                <w:rFonts w:cs="Arial"/>
                <w:b/>
                <w:sz w:val="24"/>
              </w:rPr>
              <w:t>Objectives</w:t>
            </w:r>
          </w:p>
          <w:p w:rsidR="00476524" w:rsidRPr="00E85786" w:rsidRDefault="00476524" w:rsidP="00476524">
            <w:pPr>
              <w:spacing w:after="0" w:line="240" w:lineRule="auto"/>
              <w:rPr>
                <w:rFonts w:cs="Arial"/>
                <w:sz w:val="24"/>
              </w:rPr>
            </w:pPr>
            <w:r w:rsidRPr="00E85786">
              <w:rPr>
                <w:rFonts w:cs="Arial"/>
                <w:sz w:val="24"/>
              </w:rPr>
              <w:t>To provide recommended practice to enable Infusional Services nurses to consent patients for PICC insertion and to standardise practice of obtaining consent for PICC insertion.</w:t>
            </w:r>
          </w:p>
          <w:p w:rsidR="00B24B6E" w:rsidRPr="00E85786" w:rsidRDefault="00B24B6E" w:rsidP="00476524">
            <w:pPr>
              <w:spacing w:after="0" w:line="240" w:lineRule="auto"/>
              <w:rPr>
                <w:rFonts w:cs="Arial"/>
                <w:sz w:val="24"/>
              </w:rPr>
            </w:pPr>
          </w:p>
          <w:p w:rsidR="00B24B6E" w:rsidRPr="00E85786" w:rsidRDefault="00B24B6E" w:rsidP="00476524">
            <w:pPr>
              <w:spacing w:after="0" w:line="240" w:lineRule="auto"/>
              <w:rPr>
                <w:rFonts w:cs="Arial"/>
                <w:b/>
                <w:sz w:val="24"/>
              </w:rPr>
            </w:pPr>
            <w:r w:rsidRPr="00E85786">
              <w:rPr>
                <w:rFonts w:cs="Arial"/>
                <w:b/>
                <w:sz w:val="24"/>
              </w:rPr>
              <w:t>Scope of Policy:</w:t>
            </w:r>
          </w:p>
          <w:p w:rsidR="00B24B6E" w:rsidRPr="00E85786" w:rsidRDefault="00B24B6E" w:rsidP="00476524">
            <w:pPr>
              <w:spacing w:after="0" w:line="240" w:lineRule="auto"/>
              <w:rPr>
                <w:rFonts w:cs="Arial"/>
                <w:sz w:val="24"/>
              </w:rPr>
            </w:pPr>
            <w:r w:rsidRPr="00E85786">
              <w:rPr>
                <w:rFonts w:cs="Arial"/>
                <w:sz w:val="24"/>
              </w:rPr>
              <w:t>This policy applies to Infusional Services where nursing staff who possess the necessary knowledge relating to PICC insertion in order to obtain informed consent.</w:t>
            </w:r>
          </w:p>
          <w:p w:rsidR="00E85786" w:rsidRPr="00E85786" w:rsidRDefault="00E85786" w:rsidP="00476524">
            <w:pPr>
              <w:spacing w:after="0" w:line="240" w:lineRule="auto"/>
              <w:rPr>
                <w:rFonts w:cs="Arial"/>
                <w:sz w:val="24"/>
              </w:rPr>
            </w:pPr>
          </w:p>
          <w:p w:rsidR="00E85786" w:rsidRPr="00DF7949" w:rsidRDefault="00E85786" w:rsidP="00DF7949">
            <w:pPr>
              <w:pStyle w:val="BodyTextIndent2"/>
              <w:spacing w:after="0" w:line="240" w:lineRule="auto"/>
              <w:ind w:left="0"/>
              <w:rPr>
                <w:rFonts w:cs="Arial"/>
                <w:b/>
                <w:bCs/>
                <w:sz w:val="24"/>
              </w:rPr>
            </w:pPr>
            <w:r w:rsidRPr="00DF7949">
              <w:rPr>
                <w:rFonts w:cs="Arial"/>
                <w:sz w:val="24"/>
                <w:lang w:eastAsia="en-GB"/>
              </w:rPr>
              <w:t>Only the following Trust Staff are permitted to consent prior to PICC Insertion</w:t>
            </w:r>
            <w:r w:rsidRPr="00DF7949">
              <w:rPr>
                <w:rFonts w:cs="Arial"/>
                <w:b/>
                <w:bCs/>
                <w:sz w:val="24"/>
                <w:lang w:eastAsia="en-GB"/>
              </w:rPr>
              <w:t xml:space="preserve"> – </w:t>
            </w:r>
          </w:p>
          <w:p w:rsidR="00E85786" w:rsidRPr="00DF7949" w:rsidRDefault="00E85786" w:rsidP="00E85786">
            <w:pPr>
              <w:autoSpaceDE w:val="0"/>
              <w:autoSpaceDN w:val="0"/>
              <w:adjustRightInd w:val="0"/>
              <w:ind w:left="1418"/>
              <w:rPr>
                <w:rFonts w:cs="Arial"/>
                <w:b/>
                <w:bCs/>
                <w:sz w:val="24"/>
                <w:lang w:eastAsia="en-GB"/>
              </w:rPr>
            </w:pPr>
          </w:p>
          <w:p w:rsidR="00E85786" w:rsidRPr="00DF7949" w:rsidRDefault="00E85786" w:rsidP="00E85786">
            <w:pPr>
              <w:numPr>
                <w:ilvl w:val="2"/>
                <w:numId w:val="16"/>
              </w:numPr>
              <w:autoSpaceDE w:val="0"/>
              <w:autoSpaceDN w:val="0"/>
              <w:adjustRightInd w:val="0"/>
              <w:spacing w:after="0" w:line="240" w:lineRule="auto"/>
              <w:ind w:left="682"/>
              <w:rPr>
                <w:rFonts w:cs="Arial"/>
                <w:sz w:val="24"/>
                <w:lang w:eastAsia="en-GB"/>
              </w:rPr>
            </w:pPr>
            <w:r w:rsidRPr="00DF7949">
              <w:rPr>
                <w:rFonts w:cs="Arial"/>
                <w:sz w:val="24"/>
                <w:lang w:eastAsia="en-GB"/>
              </w:rPr>
              <w:t xml:space="preserve">Infusional Services nursing staff who possess the necessary knowledge relating to PICC insertion </w:t>
            </w:r>
          </w:p>
          <w:p w:rsidR="00E85786" w:rsidRPr="00DF7949" w:rsidRDefault="00E85786" w:rsidP="00E85786">
            <w:pPr>
              <w:numPr>
                <w:ilvl w:val="2"/>
                <w:numId w:val="16"/>
              </w:numPr>
              <w:autoSpaceDE w:val="0"/>
              <w:autoSpaceDN w:val="0"/>
              <w:adjustRightInd w:val="0"/>
              <w:spacing w:after="0" w:line="240" w:lineRule="auto"/>
              <w:ind w:left="682"/>
              <w:rPr>
                <w:rFonts w:cs="Arial"/>
                <w:sz w:val="24"/>
                <w:lang w:eastAsia="en-GB"/>
              </w:rPr>
            </w:pPr>
            <w:r w:rsidRPr="00DF7949">
              <w:rPr>
                <w:rFonts w:cs="Arial"/>
                <w:sz w:val="24"/>
                <w:lang w:eastAsia="en-GB"/>
              </w:rPr>
              <w:t>Registered Medical Practitioners</w:t>
            </w:r>
          </w:p>
          <w:p w:rsidR="00E85786" w:rsidRPr="00E85786" w:rsidRDefault="00E85786" w:rsidP="00476524">
            <w:pPr>
              <w:spacing w:after="0" w:line="240" w:lineRule="auto"/>
              <w:rPr>
                <w:rFonts w:cs="Arial"/>
                <w:sz w:val="24"/>
              </w:rPr>
            </w:pPr>
          </w:p>
          <w:p w:rsidR="00B24B6E" w:rsidRPr="00E85786" w:rsidRDefault="00B24B6E" w:rsidP="00476524">
            <w:pPr>
              <w:spacing w:after="0" w:line="240" w:lineRule="auto"/>
              <w:rPr>
                <w:rFonts w:cs="Arial"/>
                <w:sz w:val="24"/>
              </w:rPr>
            </w:pPr>
          </w:p>
          <w:p w:rsidR="00B24B6E" w:rsidRPr="00E85786" w:rsidRDefault="00B24B6E" w:rsidP="00476524">
            <w:pPr>
              <w:spacing w:after="0" w:line="240" w:lineRule="auto"/>
              <w:rPr>
                <w:rFonts w:cs="Arial"/>
                <w:b/>
                <w:sz w:val="24"/>
              </w:rPr>
            </w:pPr>
            <w:r w:rsidRPr="00B350A5">
              <w:rPr>
                <w:rFonts w:cs="Arial"/>
                <w:b/>
                <w:sz w:val="24"/>
              </w:rPr>
              <w:t>Dissemination:</w:t>
            </w:r>
          </w:p>
          <w:p w:rsidR="00B24B6E" w:rsidRPr="00E85786" w:rsidRDefault="00B24B6E" w:rsidP="00B24B6E">
            <w:pPr>
              <w:rPr>
                <w:rFonts w:cs="Arial"/>
                <w:sz w:val="24"/>
              </w:rPr>
            </w:pPr>
            <w:r w:rsidRPr="00E85786">
              <w:rPr>
                <w:rFonts w:cs="Arial"/>
                <w:sz w:val="24"/>
              </w:rPr>
              <w:tab/>
              <w:t xml:space="preserve">Infusional Services nursing staff will be made aware of this policy.  This policy will be available on the BHSCT intranet within the policy section. </w:t>
            </w: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476524" w:rsidRDefault="00476524" w:rsidP="00F155AF">
            <w:pPr>
              <w:spacing w:after="0" w:line="240" w:lineRule="auto"/>
              <w:rPr>
                <w:rFonts w:cs="Arial"/>
                <w:color w:val="385623"/>
                <w:sz w:val="24"/>
              </w:rPr>
            </w:pPr>
          </w:p>
          <w:p w:rsidR="00467C0D" w:rsidRPr="00D75E22" w:rsidRDefault="00476524" w:rsidP="00F155AF">
            <w:pPr>
              <w:spacing w:after="0" w:line="240" w:lineRule="auto"/>
              <w:rPr>
                <w:rFonts w:cs="Arial"/>
                <w:color w:val="385623"/>
                <w:sz w:val="24"/>
              </w:rPr>
            </w:pPr>
            <w:r w:rsidRPr="00476524">
              <w:rPr>
                <w:rFonts w:cs="Arial"/>
                <w:sz w:val="24"/>
              </w:rPr>
              <w:t>Director of Canc</w:t>
            </w:r>
            <w:r w:rsidR="00B24B6E">
              <w:rPr>
                <w:rFonts w:cs="Arial"/>
                <w:sz w:val="24"/>
              </w:rPr>
              <w:t>er and Specialist Medicine</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467C0D" w:rsidRPr="00322DF0" w:rsidRDefault="00476524" w:rsidP="00E85786">
            <w:pPr>
              <w:spacing w:after="0"/>
              <w:rPr>
                <w:rFonts w:cs="Arial"/>
                <w:sz w:val="24"/>
              </w:rPr>
            </w:pPr>
            <w:r>
              <w:rPr>
                <w:rFonts w:cs="Arial"/>
                <w:sz w:val="24"/>
              </w:rPr>
              <w:t xml:space="preserve">Infusional Services </w:t>
            </w:r>
            <w:r w:rsidR="00E85786">
              <w:rPr>
                <w:rFonts w:cs="Arial"/>
                <w:sz w:val="24"/>
              </w:rPr>
              <w:t xml:space="preserve">- medical and </w:t>
            </w:r>
            <w:r>
              <w:rPr>
                <w:rFonts w:cs="Arial"/>
                <w:sz w:val="24"/>
              </w:rPr>
              <w:t xml:space="preserve">nursing </w:t>
            </w:r>
            <w:r w:rsidRPr="00476524">
              <w:rPr>
                <w:rFonts w:cs="Arial"/>
                <w:sz w:val="24"/>
              </w:rPr>
              <w:t>staff</w:t>
            </w:r>
            <w:r w:rsidR="00E85786">
              <w:rPr>
                <w:rFonts w:cs="Arial"/>
                <w:sz w:val="24"/>
              </w:rPr>
              <w:t>, service users, family and carers , wider Oncology MDT</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467C0D" w:rsidRDefault="006B07A3" w:rsidP="002E327F">
            <w:pPr>
              <w:spacing w:after="0"/>
              <w:rPr>
                <w:rFonts w:cs="Arial"/>
                <w:sz w:val="24"/>
              </w:rPr>
            </w:pPr>
            <w:r>
              <w:rPr>
                <w:rFonts w:cs="Arial"/>
                <w:sz w:val="24"/>
              </w:rPr>
              <w:t>The author has consulted with:</w:t>
            </w:r>
          </w:p>
          <w:p w:rsidR="006B07A3" w:rsidRDefault="006B07A3" w:rsidP="006B07A3">
            <w:pPr>
              <w:pStyle w:val="ListParagraph"/>
              <w:numPr>
                <w:ilvl w:val="0"/>
                <w:numId w:val="15"/>
              </w:numPr>
              <w:spacing w:after="0"/>
              <w:rPr>
                <w:rFonts w:cs="Arial"/>
                <w:sz w:val="24"/>
              </w:rPr>
            </w:pPr>
            <w:r>
              <w:rPr>
                <w:rFonts w:cs="Arial"/>
                <w:sz w:val="24"/>
              </w:rPr>
              <w:t>Infusional Services team</w:t>
            </w:r>
          </w:p>
          <w:p w:rsidR="006B07A3" w:rsidRPr="006B07A3" w:rsidRDefault="006B07A3" w:rsidP="006B07A3">
            <w:pPr>
              <w:pStyle w:val="ListParagraph"/>
              <w:numPr>
                <w:ilvl w:val="0"/>
                <w:numId w:val="15"/>
              </w:numPr>
              <w:spacing w:after="0"/>
              <w:rPr>
                <w:rFonts w:cs="Arial"/>
                <w:sz w:val="24"/>
              </w:rPr>
            </w:pPr>
            <w:r>
              <w:rPr>
                <w:rFonts w:cs="Arial"/>
                <w:sz w:val="24"/>
              </w:rPr>
              <w:t>Oncology Service Manager</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6B07A3" w:rsidRPr="006B07A3" w:rsidRDefault="006B07A3" w:rsidP="006B07A3">
            <w:pPr>
              <w:spacing w:after="0"/>
              <w:rPr>
                <w:rFonts w:cs="Arial"/>
                <w:sz w:val="24"/>
              </w:rPr>
            </w:pPr>
            <w:r w:rsidRPr="006B07A3">
              <w:rPr>
                <w:rFonts w:cs="Arial"/>
                <w:sz w:val="24"/>
              </w:rPr>
              <w:t>Policy to be followed when obtaining consent for examination, treatment or care in adults and children. SG 27/13</w:t>
            </w:r>
          </w:p>
          <w:p w:rsidR="006B07A3" w:rsidRPr="006B07A3" w:rsidRDefault="006B07A3" w:rsidP="006B07A3">
            <w:pPr>
              <w:spacing w:after="0"/>
              <w:rPr>
                <w:rFonts w:cs="Arial"/>
                <w:sz w:val="24"/>
              </w:rPr>
            </w:pPr>
          </w:p>
          <w:p w:rsidR="006B07A3" w:rsidRPr="006B07A3" w:rsidRDefault="006B07A3" w:rsidP="006B07A3">
            <w:pPr>
              <w:spacing w:after="0"/>
              <w:rPr>
                <w:rFonts w:cs="Arial"/>
                <w:sz w:val="24"/>
              </w:rPr>
            </w:pPr>
            <w:r w:rsidRPr="006B07A3">
              <w:rPr>
                <w:rFonts w:cs="Arial"/>
                <w:sz w:val="24"/>
              </w:rPr>
              <w:t>BHSCT Policy for insertion of Peripheral Inserted Central Catheters (PICCs) (being updated)</w:t>
            </w:r>
          </w:p>
          <w:p w:rsidR="006B07A3" w:rsidRPr="006B07A3" w:rsidRDefault="006B07A3" w:rsidP="006B07A3">
            <w:pPr>
              <w:spacing w:after="0"/>
              <w:rPr>
                <w:rFonts w:cs="Arial"/>
                <w:sz w:val="24"/>
              </w:rPr>
            </w:pPr>
          </w:p>
          <w:p w:rsidR="006B07A3" w:rsidRPr="006B07A3" w:rsidRDefault="006B07A3" w:rsidP="006B07A3">
            <w:pPr>
              <w:spacing w:after="0"/>
              <w:rPr>
                <w:rFonts w:cs="Arial"/>
                <w:sz w:val="24"/>
              </w:rPr>
            </w:pPr>
            <w:r w:rsidRPr="006B07A3">
              <w:rPr>
                <w:rFonts w:cs="Arial"/>
                <w:sz w:val="24"/>
              </w:rPr>
              <w:t>BHSCT Central Venous Access Device Guidelines for Adults</w:t>
            </w:r>
          </w:p>
          <w:p w:rsidR="00467C0D" w:rsidRDefault="006B07A3" w:rsidP="006B07A3">
            <w:pPr>
              <w:spacing w:after="0"/>
              <w:rPr>
                <w:rFonts w:cs="Arial"/>
                <w:sz w:val="24"/>
              </w:rPr>
            </w:pPr>
            <w:r w:rsidRPr="006B07A3">
              <w:rPr>
                <w:rFonts w:cs="Arial"/>
                <w:sz w:val="24"/>
              </w:rPr>
              <w:t>(excluding non-tunnelled catheters). BHSCT/CSM/CSM (28)</w:t>
            </w:r>
          </w:p>
          <w:p w:rsidR="00B24B6E" w:rsidRDefault="00B24B6E" w:rsidP="006B07A3">
            <w:pPr>
              <w:spacing w:after="0"/>
              <w:rPr>
                <w:rFonts w:cs="Arial"/>
                <w:sz w:val="24"/>
              </w:rPr>
            </w:pPr>
          </w:p>
          <w:p w:rsidR="00B24B6E" w:rsidRDefault="00B24B6E" w:rsidP="00B24B6E">
            <w:pPr>
              <w:pStyle w:val="NoSpacing"/>
              <w:rPr>
                <w:rFonts w:cs="Arial"/>
                <w:szCs w:val="24"/>
              </w:rPr>
            </w:pPr>
            <w:r w:rsidRPr="0056749E">
              <w:rPr>
                <w:rFonts w:cs="Arial"/>
                <w:szCs w:val="24"/>
              </w:rPr>
              <w:t xml:space="preserve">Department of Health, (2009) </w:t>
            </w:r>
            <w:r w:rsidRPr="0056749E">
              <w:rPr>
                <w:rFonts w:cs="Arial"/>
                <w:i/>
                <w:iCs/>
                <w:szCs w:val="24"/>
              </w:rPr>
              <w:t xml:space="preserve">Reference Guide to Consent for Examination or Treatment. </w:t>
            </w:r>
            <w:r w:rsidRPr="0056749E">
              <w:rPr>
                <w:rFonts w:cs="Arial"/>
                <w:szCs w:val="24"/>
              </w:rPr>
              <w:t>The Stationery Office, London.</w:t>
            </w:r>
          </w:p>
          <w:p w:rsidR="00B24B6E" w:rsidRPr="0056749E" w:rsidRDefault="00B24B6E" w:rsidP="00B24B6E">
            <w:pPr>
              <w:pStyle w:val="NoSpacing"/>
              <w:ind w:left="709"/>
              <w:rPr>
                <w:rFonts w:cs="Arial"/>
                <w:szCs w:val="24"/>
              </w:rPr>
            </w:pPr>
          </w:p>
          <w:p w:rsidR="00B24B6E" w:rsidRDefault="00B24B6E" w:rsidP="00B24B6E">
            <w:pPr>
              <w:pStyle w:val="NoSpacing"/>
              <w:rPr>
                <w:rFonts w:cs="Arial"/>
                <w:szCs w:val="24"/>
              </w:rPr>
            </w:pPr>
            <w:r w:rsidRPr="0056749E">
              <w:rPr>
                <w:rFonts w:cs="Arial"/>
                <w:szCs w:val="24"/>
              </w:rPr>
              <w:t>Infusion Nurs</w:t>
            </w:r>
            <w:r>
              <w:rPr>
                <w:rFonts w:cs="Arial"/>
                <w:szCs w:val="24"/>
              </w:rPr>
              <w:t>ing Standards of Practice, (2024</w:t>
            </w:r>
            <w:r w:rsidRPr="0056749E">
              <w:rPr>
                <w:rFonts w:cs="Arial"/>
                <w:szCs w:val="24"/>
              </w:rPr>
              <w:t>)</w:t>
            </w:r>
            <w:r>
              <w:rPr>
                <w:rFonts w:cs="Arial"/>
                <w:szCs w:val="24"/>
              </w:rPr>
              <w:t>.</w:t>
            </w:r>
            <w:r w:rsidRPr="0056749E">
              <w:rPr>
                <w:rFonts w:cs="Arial"/>
                <w:szCs w:val="24"/>
              </w:rPr>
              <w:t xml:space="preserve"> </w:t>
            </w:r>
          </w:p>
          <w:p w:rsidR="00B24B6E" w:rsidRPr="0056749E" w:rsidRDefault="00B24B6E" w:rsidP="00B24B6E">
            <w:pPr>
              <w:pStyle w:val="NoSpacing"/>
              <w:ind w:left="709"/>
              <w:rPr>
                <w:rFonts w:cs="Arial"/>
                <w:szCs w:val="24"/>
              </w:rPr>
            </w:pPr>
          </w:p>
          <w:p w:rsidR="00B24B6E" w:rsidRPr="0056749E" w:rsidRDefault="00B24B6E" w:rsidP="00B24B6E">
            <w:pPr>
              <w:pStyle w:val="NoSpacing"/>
              <w:rPr>
                <w:rFonts w:cs="Arial"/>
                <w:szCs w:val="24"/>
              </w:rPr>
            </w:pPr>
            <w:r>
              <w:rPr>
                <w:rFonts w:cs="Arial"/>
                <w:szCs w:val="24"/>
              </w:rPr>
              <w:lastRenderedPageBreak/>
              <w:t>Nursing Midwifery Council (2018</w:t>
            </w:r>
            <w:r w:rsidRPr="0056749E">
              <w:rPr>
                <w:rFonts w:cs="Arial"/>
                <w:szCs w:val="24"/>
              </w:rPr>
              <w:t xml:space="preserve">) </w:t>
            </w:r>
            <w:r w:rsidRPr="0056749E">
              <w:rPr>
                <w:rFonts w:cs="Arial"/>
                <w:i/>
                <w:iCs/>
                <w:szCs w:val="24"/>
              </w:rPr>
              <w:t xml:space="preserve">The Code, Professional standards of practice and behaviour for nurses and midwives, </w:t>
            </w:r>
            <w:r w:rsidRPr="0056749E">
              <w:rPr>
                <w:rFonts w:cs="Arial"/>
                <w:szCs w:val="24"/>
              </w:rPr>
              <w:t>London, NMC.</w:t>
            </w:r>
          </w:p>
          <w:p w:rsidR="00B24B6E" w:rsidRPr="0056749E" w:rsidRDefault="00B24B6E" w:rsidP="00B24B6E">
            <w:pPr>
              <w:pStyle w:val="NoSpacing"/>
              <w:rPr>
                <w:rFonts w:cs="Arial"/>
                <w:szCs w:val="24"/>
              </w:rPr>
            </w:pPr>
          </w:p>
          <w:p w:rsidR="00B24B6E" w:rsidRDefault="00DF7949" w:rsidP="00B24B6E">
            <w:pPr>
              <w:pStyle w:val="NoSpacing"/>
              <w:rPr>
                <w:rStyle w:val="Hyperlink"/>
                <w:rFonts w:cs="Arial"/>
                <w:szCs w:val="24"/>
              </w:rPr>
            </w:pPr>
            <w:hyperlink r:id="rId14" w:history="1">
              <w:r w:rsidR="00B24B6E" w:rsidRPr="00F532F8">
                <w:rPr>
                  <w:rStyle w:val="Hyperlink"/>
                  <w:rFonts w:cs="Arial"/>
                  <w:szCs w:val="24"/>
                </w:rPr>
                <w:t>www.nhs.uk/conditions/consent-to-treatment/</w:t>
              </w:r>
            </w:hyperlink>
          </w:p>
          <w:p w:rsidR="00B24B6E" w:rsidRPr="0056749E" w:rsidRDefault="00B24B6E" w:rsidP="00B24B6E">
            <w:pPr>
              <w:pStyle w:val="NoSpacing"/>
              <w:ind w:left="709"/>
              <w:rPr>
                <w:rFonts w:cs="Arial"/>
                <w:szCs w:val="24"/>
              </w:rPr>
            </w:pPr>
          </w:p>
          <w:p w:rsidR="00B24B6E" w:rsidRDefault="00DF7949" w:rsidP="00B24B6E">
            <w:pPr>
              <w:pStyle w:val="NoSpacing"/>
              <w:rPr>
                <w:rFonts w:cs="Arial"/>
                <w:szCs w:val="24"/>
              </w:rPr>
            </w:pPr>
            <w:hyperlink r:id="rId15" w:history="1">
              <w:r w:rsidR="00B24B6E" w:rsidRPr="00F532F8">
                <w:rPr>
                  <w:rStyle w:val="Hyperlink"/>
                  <w:rFonts w:cs="Arial"/>
                  <w:szCs w:val="24"/>
                </w:rPr>
                <w:t>www.nice.org.uk/guidance/ng197</w:t>
              </w:r>
            </w:hyperlink>
          </w:p>
          <w:p w:rsidR="00B24B6E" w:rsidRDefault="00B24B6E" w:rsidP="00B24B6E">
            <w:pPr>
              <w:pStyle w:val="NoSpacing"/>
              <w:ind w:left="709"/>
              <w:rPr>
                <w:rFonts w:cs="Arial"/>
                <w:szCs w:val="24"/>
              </w:rPr>
            </w:pPr>
          </w:p>
          <w:p w:rsidR="00B24B6E" w:rsidRPr="00F155AF" w:rsidRDefault="00DF7949" w:rsidP="00B24B6E">
            <w:pPr>
              <w:spacing w:after="0"/>
              <w:rPr>
                <w:rFonts w:cs="Arial"/>
                <w:color w:val="FF0000"/>
                <w:sz w:val="24"/>
              </w:rPr>
            </w:pPr>
            <w:hyperlink r:id="rId16" w:history="1">
              <w:r w:rsidR="00B24B6E" w:rsidRPr="00F532F8">
                <w:rPr>
                  <w:rStyle w:val="Hyperlink"/>
                  <w:rFonts w:cs="Arial"/>
                </w:rPr>
                <w:t>www.health-ni.gov.uk/articles/consent-examination-treatment-or-care</w:t>
              </w:r>
            </w:hyperlink>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B24B6E" w:rsidRPr="00B24B6E" w:rsidRDefault="00B24B6E" w:rsidP="00F155AF">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6B07A3"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6B07A3"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6B07A3"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6B07A3"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6B07A3"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6B07A3" w:rsidP="002E327F">
            <w:pPr>
              <w:spacing w:after="0" w:line="240" w:lineRule="auto"/>
              <w:rPr>
                <w:rFonts w:cs="Arial"/>
                <w:b/>
                <w:sz w:val="24"/>
              </w:rPr>
            </w:pPr>
            <w:r>
              <w:rPr>
                <w:rFonts w:cs="Arial"/>
                <w:b/>
                <w:sz w:val="24"/>
              </w:rPr>
              <w:t xml:space="preserve">          X</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lastRenderedPageBreak/>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6A08B1" w:rsidRPr="000B3491" w:rsidRDefault="006A08B1" w:rsidP="006A08B1">
            <w:pPr>
              <w:jc w:val="center"/>
              <w:rPr>
                <w:rFonts w:ascii="Calibri" w:hAnsi="Calibri"/>
                <w:b/>
                <w:sz w:val="36"/>
                <w:szCs w:val="36"/>
              </w:rPr>
            </w:pPr>
            <w:r w:rsidRPr="000B3491">
              <w:rPr>
                <w:rFonts w:ascii="Wingdings 2" w:hAnsi="Wingdings 2"/>
                <w:b/>
                <w:sz w:val="36"/>
                <w:szCs w:val="36"/>
              </w:rPr>
              <w:t></w:t>
            </w:r>
          </w:p>
          <w:p w:rsidR="00D75E22" w:rsidRPr="003930CF" w:rsidRDefault="00D75E22" w:rsidP="006B07A3">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6A08B1" w:rsidRDefault="006A08B1" w:rsidP="006A08B1">
            <w:pPr>
              <w:jc w:val="center"/>
              <w:rPr>
                <w:rFonts w:ascii="Calibri" w:hAnsi="Calibri"/>
                <w:b/>
                <w:sz w:val="36"/>
                <w:szCs w:val="36"/>
              </w:rPr>
            </w:pPr>
            <w:r w:rsidRPr="000B3491">
              <w:rPr>
                <w:rFonts w:ascii="Wingdings 2" w:hAnsi="Wingdings 2"/>
                <w:b/>
                <w:sz w:val="36"/>
                <w:szCs w:val="36"/>
              </w:rPr>
              <w:t></w:t>
            </w: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p w:rsidR="00E85786" w:rsidRPr="00DF7949" w:rsidRDefault="00E85786" w:rsidP="00DF7949">
            <w:pPr>
              <w:pStyle w:val="BodyText"/>
              <w:rPr>
                <w:rFonts w:cs="Arial"/>
                <w:b/>
                <w:bCs/>
                <w:sz w:val="24"/>
              </w:rPr>
            </w:pPr>
            <w:r>
              <w:rPr>
                <w:sz w:val="24"/>
              </w:rPr>
              <w:t xml:space="preserve">This screening relates to a policy that is being updated i.e. version </w:t>
            </w:r>
            <w:r w:rsidRPr="00DF7949">
              <w:rPr>
                <w:sz w:val="24"/>
              </w:rPr>
              <w:t>3</w:t>
            </w:r>
            <w:r>
              <w:rPr>
                <w:sz w:val="24"/>
              </w:rPr>
              <w:t xml:space="preserve"> superseding </w:t>
            </w:r>
            <w:r>
              <w:rPr>
                <w:rFonts w:cs="Arial"/>
                <w:bCs/>
                <w:sz w:val="24"/>
              </w:rPr>
              <w:t>Version 2</w:t>
            </w:r>
            <w:r w:rsidRPr="008B6361">
              <w:rPr>
                <w:rFonts w:cs="Arial"/>
                <w:bCs/>
                <w:sz w:val="24"/>
              </w:rPr>
              <w:t xml:space="preserve"> </w:t>
            </w:r>
            <w:r>
              <w:rPr>
                <w:rFonts w:cs="Arial"/>
                <w:bCs/>
                <w:sz w:val="24"/>
              </w:rPr>
              <w:t>–</w:t>
            </w:r>
            <w:r w:rsidRPr="008B6361">
              <w:rPr>
                <w:rFonts w:cs="Arial"/>
                <w:bCs/>
                <w:sz w:val="24"/>
              </w:rPr>
              <w:t xml:space="preserve"> </w:t>
            </w:r>
            <w:r>
              <w:rPr>
                <w:rFonts w:cs="Arial"/>
                <w:bCs/>
                <w:sz w:val="24"/>
              </w:rPr>
              <w:t>2019 - 2024</w:t>
            </w:r>
            <w:r w:rsidRPr="008B6361">
              <w:rPr>
                <w:rFonts w:cs="Arial"/>
                <w:bCs/>
                <w:sz w:val="24"/>
              </w:rPr>
              <w:t xml:space="preserve"> </w:t>
            </w:r>
            <w:r>
              <w:rPr>
                <w:rFonts w:cs="Arial"/>
                <w:bCs/>
                <w:sz w:val="24"/>
              </w:rPr>
              <w:t xml:space="preserve"> </w:t>
            </w:r>
            <w:r w:rsidRPr="008B6361">
              <w:rPr>
                <w:rFonts w:cs="Arial"/>
                <w:bCs/>
                <w:sz w:val="24"/>
              </w:rPr>
              <w:t>(</w:t>
            </w:r>
            <w:r w:rsidRPr="00623727">
              <w:rPr>
                <w:rFonts w:cs="Arial"/>
                <w:bCs/>
                <w:sz w:val="24"/>
              </w:rPr>
              <w:t>SG 34/15</w:t>
            </w:r>
            <w:r w:rsidRPr="008B6361">
              <w:rPr>
                <w:rFonts w:cs="Arial"/>
                <w:bCs/>
                <w:sz w:val="24"/>
              </w:rPr>
              <w:t>)</w:t>
            </w:r>
            <w:r>
              <w:rPr>
                <w:sz w:val="24"/>
              </w:rPr>
              <w:t>. No additional impact or mitigations identified in this process</w:t>
            </w:r>
          </w:p>
        </w:tc>
        <w:tc>
          <w:tcPr>
            <w:tcW w:w="497" w:type="pct"/>
            <w:shd w:val="clear" w:color="auto" w:fill="auto"/>
          </w:tcPr>
          <w:p w:rsidR="0019237D" w:rsidRPr="006B07A3" w:rsidRDefault="00E85786" w:rsidP="006B07A3">
            <w:pPr>
              <w:jc w:val="center"/>
              <w:rPr>
                <w:rFonts w:cs="Arial"/>
                <w:b/>
                <w:sz w:val="24"/>
              </w:rPr>
            </w:pPr>
            <w:r w:rsidRPr="000B3491">
              <w:rPr>
                <w:rFonts w:ascii="Wingdings 2" w:hAnsi="Wingdings 2"/>
                <w:b/>
                <w:sz w:val="36"/>
                <w:szCs w:val="36"/>
              </w:rPr>
              <w:t></w:t>
            </w: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DF7949" w:rsidP="00377970">
            <w:pPr>
              <w:spacing w:after="0"/>
              <w:rPr>
                <w:rFonts w:cs="Arial"/>
                <w:sz w:val="24"/>
              </w:rPr>
            </w:pPr>
            <w:hyperlink r:id="rId17"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6B07A3" w:rsidRDefault="006B07A3" w:rsidP="002E327F">
            <w:pPr>
              <w:spacing w:after="0"/>
              <w:rPr>
                <w:rFonts w:cs="Arial"/>
                <w:sz w:val="24"/>
              </w:rPr>
            </w:pPr>
          </w:p>
          <w:p w:rsidR="000B3491" w:rsidRPr="000B3491" w:rsidRDefault="000B3491" w:rsidP="000B3491">
            <w:pPr>
              <w:jc w:val="center"/>
              <w:rPr>
                <w:rFonts w:ascii="Calibri" w:hAnsi="Calibri"/>
                <w:b/>
                <w:sz w:val="36"/>
                <w:szCs w:val="36"/>
              </w:rPr>
            </w:pPr>
            <w:r w:rsidRPr="000B3491">
              <w:rPr>
                <w:rFonts w:ascii="Wingdings 2" w:hAnsi="Wingdings 2"/>
                <w:b/>
                <w:sz w:val="36"/>
                <w:szCs w:val="36"/>
              </w:rPr>
              <w:t></w:t>
            </w:r>
          </w:p>
          <w:p w:rsidR="002F78D6" w:rsidRPr="003930CF" w:rsidRDefault="002F78D6" w:rsidP="002E327F">
            <w:pPr>
              <w:spacing w:after="0"/>
              <w:rPr>
                <w:rFonts w:cs="Arial"/>
                <w:sz w:val="24"/>
              </w:rPr>
            </w:pP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7C4C94">
              <w:rPr>
                <w:rFonts w:cs="Arial"/>
                <w:sz w:val="24"/>
              </w:rPr>
              <w:t xml:space="preserve"> Dympna McParlan</w:t>
            </w:r>
          </w:p>
          <w:p w:rsidR="004C5F5C" w:rsidRPr="004C5F5C" w:rsidRDefault="004C5F5C" w:rsidP="002E327F">
            <w:pPr>
              <w:spacing w:after="0"/>
              <w:rPr>
                <w:rFonts w:cs="Arial"/>
                <w:sz w:val="24"/>
              </w:rPr>
            </w:pPr>
            <w:r w:rsidRPr="004C5F5C">
              <w:rPr>
                <w:rFonts w:cs="Arial"/>
                <w:sz w:val="24"/>
              </w:rPr>
              <w:t>Position:</w:t>
            </w:r>
            <w:r w:rsidR="007C4C94">
              <w:rPr>
                <w:rFonts w:cs="Arial"/>
                <w:sz w:val="24"/>
              </w:rPr>
              <w:t xml:space="preserve"> Vascular Access Lead Nurse</w:t>
            </w:r>
          </w:p>
          <w:p w:rsidR="004C5F5C" w:rsidRDefault="004C5F5C" w:rsidP="002E327F">
            <w:pPr>
              <w:spacing w:after="0"/>
              <w:rPr>
                <w:rFonts w:cs="Arial"/>
                <w:sz w:val="24"/>
              </w:rPr>
            </w:pPr>
            <w:r w:rsidRPr="004C5F5C">
              <w:rPr>
                <w:rFonts w:cs="Arial"/>
                <w:sz w:val="24"/>
              </w:rPr>
              <w:t>Date:</w:t>
            </w:r>
            <w:r w:rsidR="007C4C94">
              <w:rPr>
                <w:rFonts w:cs="Arial"/>
                <w:sz w:val="24"/>
              </w:rPr>
              <w:t xml:space="preserve"> 29/04/2025</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lastRenderedPageBreak/>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B350A5">
              <w:rPr>
                <w:rFonts w:cs="Arial"/>
                <w:sz w:val="24"/>
              </w:rPr>
              <w:t>Catherine Truesdale</w:t>
            </w:r>
          </w:p>
          <w:p w:rsidR="004C5F5C" w:rsidRPr="004C5F5C" w:rsidRDefault="004C5F5C" w:rsidP="002E327F">
            <w:pPr>
              <w:spacing w:after="0"/>
              <w:rPr>
                <w:rFonts w:cs="Arial"/>
                <w:sz w:val="24"/>
              </w:rPr>
            </w:pPr>
            <w:r w:rsidRPr="004C5F5C">
              <w:rPr>
                <w:rFonts w:cs="Arial"/>
                <w:sz w:val="24"/>
              </w:rPr>
              <w:t>Date:</w:t>
            </w:r>
            <w:r w:rsidR="00B350A5">
              <w:rPr>
                <w:rFonts w:cs="Arial"/>
                <w:sz w:val="24"/>
              </w:rPr>
              <w:t>06/05/25</w:t>
            </w:r>
            <w:bookmarkStart w:id="0" w:name="_GoBack"/>
            <w:bookmarkEnd w:id="0"/>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8"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lastRenderedPageBreak/>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DF7949" w:rsidP="002E327F">
            <w:pPr>
              <w:spacing w:after="0" w:line="240" w:lineRule="auto"/>
              <w:rPr>
                <w:rFonts w:eastAsia="Calibri" w:cs="Arial"/>
                <w:sz w:val="24"/>
              </w:rPr>
            </w:pPr>
            <w:hyperlink r:id="rId19"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lastRenderedPageBreak/>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0"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lastRenderedPageBreak/>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1"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6B7F5C" w:rsidP="008421D3">
            <w:pPr>
              <w:spacing w:after="0" w:line="240" w:lineRule="auto"/>
              <w:jc w:val="center"/>
              <w:rPr>
                <w:rFonts w:cs="Arial"/>
                <w:sz w:val="24"/>
              </w:rPr>
            </w:pPr>
            <w:r w:rsidRPr="008421D3">
              <w:rPr>
                <w:rFonts w:cs="Arial"/>
                <w:noProof/>
                <w:sz w:val="24"/>
                <w:lang w:eastAsia="en-GB"/>
              </w:rPr>
              <w:drawing>
                <wp:inline distT="0" distB="0" distL="0" distR="0" wp14:anchorId="50D6B785" wp14:editId="50D6B786">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lastRenderedPageBreak/>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3"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4"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lastRenderedPageBreak/>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50D6B787" wp14:editId="50D6B788">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8544F7" w:rsidRDefault="008544F7"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D6B787"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8544F7" w:rsidRDefault="008544F7"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5"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6"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7"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8"/>
      <w:footerReference w:type="default" r:id="rId29"/>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1853" w:rsidRDefault="00001853">
      <w:r>
        <w:separator/>
      </w:r>
    </w:p>
  </w:endnote>
  <w:endnote w:type="continuationSeparator" w:id="0">
    <w:p w:rsidR="00001853" w:rsidRDefault="00001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44F7" w:rsidRDefault="008544F7"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544F7" w:rsidRDefault="008544F7"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44F7" w:rsidRDefault="008544F7">
    <w:pPr>
      <w:pStyle w:val="Footer"/>
      <w:jc w:val="right"/>
    </w:pPr>
    <w:r>
      <w:fldChar w:fldCharType="begin"/>
    </w:r>
    <w:r>
      <w:instrText xml:space="preserve"> PAGE   \* MERGEFORMAT </w:instrText>
    </w:r>
    <w:r>
      <w:fldChar w:fldCharType="separate"/>
    </w:r>
    <w:r w:rsidR="00DF7949">
      <w:rPr>
        <w:noProof/>
      </w:rPr>
      <w:t>2</w:t>
    </w:r>
    <w:r>
      <w:rPr>
        <w:noProof/>
      </w:rPr>
      <w:fldChar w:fldCharType="end"/>
    </w:r>
  </w:p>
  <w:p w:rsidR="008544F7" w:rsidRDefault="008544F7"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1853" w:rsidRDefault="00001853">
      <w:r>
        <w:separator/>
      </w:r>
    </w:p>
  </w:footnote>
  <w:footnote w:type="continuationSeparator" w:id="0">
    <w:p w:rsidR="00001853" w:rsidRDefault="000018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373A6E"/>
    <w:multiLevelType w:val="hybridMultilevel"/>
    <w:tmpl w:val="F3A83F78"/>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E47A72"/>
    <w:multiLevelType w:val="hybridMultilevel"/>
    <w:tmpl w:val="A6CEC5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797032B6">
      <w:numFmt w:val="bullet"/>
      <w:lvlText w:val="•"/>
      <w:lvlJc w:val="left"/>
      <w:pPr>
        <w:ind w:left="2160" w:hanging="360"/>
      </w:pPr>
      <w:rPr>
        <w:rFonts w:ascii="Arial" w:eastAsia="Times New Roman" w:hAnsi="Arial" w:cs="Arial"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53AB03FD"/>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6" w15:restartNumberingAfterBreak="0">
    <w:nsid w:val="74A655BB"/>
    <w:multiLevelType w:val="hybridMultilevel"/>
    <w:tmpl w:val="5712D1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num>
  <w:num w:numId="3">
    <w:abstractNumId w:val="4"/>
  </w:num>
  <w:num w:numId="4">
    <w:abstractNumId w:val="9"/>
  </w:num>
  <w:num w:numId="5">
    <w:abstractNumId w:val="10"/>
  </w:num>
  <w:num w:numId="6">
    <w:abstractNumId w:val="5"/>
  </w:num>
  <w:num w:numId="7">
    <w:abstractNumId w:val="7"/>
  </w:num>
  <w:num w:numId="8">
    <w:abstractNumId w:val="12"/>
  </w:num>
  <w:num w:numId="9">
    <w:abstractNumId w:val="8"/>
  </w:num>
  <w:num w:numId="10">
    <w:abstractNumId w:val="1"/>
  </w:num>
  <w:num w:numId="11">
    <w:abstractNumId w:val="6"/>
  </w:num>
  <w:num w:numId="12">
    <w:abstractNumId w:val="14"/>
  </w:num>
  <w:num w:numId="13">
    <w:abstractNumId w:val="11"/>
  </w:num>
  <w:num w:numId="14">
    <w:abstractNumId w:val="17"/>
  </w:num>
  <w:num w:numId="15">
    <w:abstractNumId w:val="16"/>
  </w:num>
  <w:num w:numId="16">
    <w:abstractNumId w:val="2"/>
  </w:num>
  <w:num w:numId="17">
    <w:abstractNumId w:val="3"/>
  </w:num>
  <w:num w:numId="18">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1853"/>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3491"/>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957DD"/>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E6642"/>
    <w:rsid w:val="001F0F7C"/>
    <w:rsid w:val="001F1B73"/>
    <w:rsid w:val="001F7D4C"/>
    <w:rsid w:val="00211449"/>
    <w:rsid w:val="0021324B"/>
    <w:rsid w:val="00214856"/>
    <w:rsid w:val="00216848"/>
    <w:rsid w:val="00217D50"/>
    <w:rsid w:val="002214DC"/>
    <w:rsid w:val="00227D73"/>
    <w:rsid w:val="00230685"/>
    <w:rsid w:val="00231590"/>
    <w:rsid w:val="00234703"/>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0C6B"/>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76524"/>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3F8D"/>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08B1"/>
    <w:rsid w:val="006A1C34"/>
    <w:rsid w:val="006A2646"/>
    <w:rsid w:val="006A443A"/>
    <w:rsid w:val="006A4B80"/>
    <w:rsid w:val="006B07A3"/>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4C94"/>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44F7"/>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B6E"/>
    <w:rsid w:val="00B24D7C"/>
    <w:rsid w:val="00B261B6"/>
    <w:rsid w:val="00B32086"/>
    <w:rsid w:val="00B34CBA"/>
    <w:rsid w:val="00B350A5"/>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DF7949"/>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86"/>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B24B6E"/>
    <w:pPr>
      <w:autoSpaceDE w:val="0"/>
      <w:autoSpaceDN w:val="0"/>
      <w:adjustRightInd w:val="0"/>
    </w:pPr>
    <w:rPr>
      <w:rFonts w:ascii="Arial" w:eastAsiaTheme="minorHAnsi" w:hAnsi="Arial" w:cs="Arial"/>
      <w:color w:val="000000"/>
      <w:sz w:val="24"/>
      <w:szCs w:val="24"/>
      <w:lang w:eastAsia="en-US"/>
    </w:rPr>
  </w:style>
  <w:style w:type="paragraph" w:styleId="NoSpacing">
    <w:name w:val="No Spacing"/>
    <w:uiPriority w:val="1"/>
    <w:qFormat/>
    <w:rsid w:val="00B24B6E"/>
    <w:rPr>
      <w:rFonts w:ascii="Arial" w:hAnsi="Arial"/>
      <w:sz w:val="24"/>
      <w:lang w:eastAsia="en-US"/>
    </w:rPr>
  </w:style>
  <w:style w:type="paragraph" w:styleId="BodyTextIndent2">
    <w:name w:val="Body Text Indent 2"/>
    <w:basedOn w:val="Normal"/>
    <w:link w:val="BodyTextIndent2Char"/>
    <w:rsid w:val="00E85786"/>
    <w:pPr>
      <w:spacing w:after="120" w:line="480" w:lineRule="auto"/>
      <w:ind w:left="283"/>
    </w:pPr>
  </w:style>
  <w:style w:type="character" w:customStyle="1" w:styleId="BodyTextIndent2Char">
    <w:name w:val="Body Text Indent 2 Char"/>
    <w:basedOn w:val="DefaultParagraphFont"/>
    <w:link w:val="BodyTextIndent2"/>
    <w:rsid w:val="00E85786"/>
    <w:rPr>
      <w:rFonts w:ascii="Arial" w:hAnsi="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4531589">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www.equalityni.org/ECNI/media/ECNI/Publications/Employers%20and%20Service%20Providers/Public%20Authorities/S75DataSignpostingGuide.pdf" TargetMode="External"/><Relationship Id="rId26" Type="http://schemas.openxmlformats.org/officeDocument/2006/relationships/hyperlink" Target="https://www.ruralcommunitynetwork.org/app/uploads/2022/10/NI-Rural-Health-and-Care-Toolkit-Final-version-1.pdf" TargetMode="Externa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file:///\\belnas02.belfasttrust.local\userseh\Estella.Dorrian\Downloads\Making-Communication-Accessible-for-All-A-guide-for-HSC-Staff%20(13).pdf" TargetMode="External"/><Relationship Id="rId25" Type="http://schemas.openxmlformats.org/officeDocument/2006/relationships/hyperlink" Target="https://bhsct.sharepoint.com/:w:/r/sites/pe/_layouts/15/Doc.aspx?sourcedoc=%7BD1FB1BB8-E4B8-417C-9CA8-F9C69D07B983%7D&amp;file=Rural-Need-Template.docx&amp;action=default&amp;mobileredirect=true" TargetMode="External"/><Relationship Id="rId2" Type="http://schemas.openxmlformats.org/officeDocument/2006/relationships/customXml" Target="../customXml/item2.xml"/><Relationship Id="rId16" Type="http://schemas.openxmlformats.org/officeDocument/2006/relationships/hyperlink" Target="http://www.health-ni.gov.uk/articles/consent-examination-treatment-or-care" TargetMode="External"/><Relationship Id="rId20" Type="http://schemas.openxmlformats.org/officeDocument/2006/relationships/hyperlink" Target="https://view.pagetiger.com/equalityscreening/1"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elfasttrust.hscni.net/about/publications/equality-and-human-rights-screening/" TargetMode="External"/><Relationship Id="rId5" Type="http://schemas.openxmlformats.org/officeDocument/2006/relationships/customXml" Target="../customXml/item5.xml"/><Relationship Id="rId15" Type="http://schemas.openxmlformats.org/officeDocument/2006/relationships/hyperlink" Target="http://www.nice.org.uk/guidance/ng197" TargetMode="External"/><Relationship Id="rId23" Type="http://schemas.openxmlformats.org/officeDocument/2006/relationships/hyperlink" Target="mailto:equalityscreenings@belfasttrust.hscni.net" TargetMode="External"/><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nhs.uk/conditions/consent-to-treatment/" TargetMode="External"/><Relationship Id="rId22" Type="http://schemas.openxmlformats.org/officeDocument/2006/relationships/image" Target="media/image2.png"/><Relationship Id="rId27" Type="http://schemas.openxmlformats.org/officeDocument/2006/relationships/hyperlink" Target="mailto:Estella.Dorrian@belfasttrust.hscni.net"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C3C0920F-D9D9-429C-AB5D-8AA5118870AD}"/>
</file>

<file path=customXml/itemProps4.xml><?xml version="1.0" encoding="utf-8"?>
<ds:datastoreItem xmlns:ds="http://schemas.openxmlformats.org/officeDocument/2006/customXml" ds:itemID="{14F59DB4-9D5E-4E64-8233-9029173BFC1C}">
  <ds:schemaRefs>
    <ds:schemaRef ds:uri="http://purl.org/dc/elements/1.1/"/>
    <ds:schemaRef ds:uri="http://schemas.microsoft.com/office/2006/metadata/properties"/>
    <ds:schemaRef ds:uri="http://schemas.microsoft.com/office/2006/documentManagement/types"/>
    <ds:schemaRef ds:uri="113bc8f4-fbd1-47dc-a367-b45504fa7fa8"/>
    <ds:schemaRef ds:uri="http://purl.org/dc/terms/"/>
    <ds:schemaRef ds:uri="http://schemas.openxmlformats.org/package/2006/metadata/core-properties"/>
    <ds:schemaRef ds:uri="http://purl.org/dc/dcmitype/"/>
    <ds:schemaRef ds:uri="http://schemas.microsoft.com/office/infopath/2007/PartnerControls"/>
    <ds:schemaRef ds:uri="c63a1868-4111-456f-98ab-3fb7d65d3dde"/>
    <ds:schemaRef ds:uri="http://www.w3.org/XML/1998/namespace"/>
  </ds:schemaRefs>
</ds:datastoreItem>
</file>

<file path=customXml/itemProps5.xml><?xml version="1.0" encoding="utf-8"?>
<ds:datastoreItem xmlns:ds="http://schemas.openxmlformats.org/officeDocument/2006/customXml" ds:itemID="{58050223-5FA6-4E98-BE10-2A9BBE54D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3907</Words>
  <Characters>26350</Characters>
  <Application>Microsoft Office Word</Application>
  <DocSecurity>4</DocSecurity>
  <Lines>219</Lines>
  <Paragraphs>60</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30197</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2025-05-07T08:30:00Z</dcterms:created>
  <dcterms:modified xsi:type="dcterms:W3CDTF">2025-05-07T08:30:00Z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