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6386195" cy="294005"/>
                <wp:effectExtent l="24130" t="19050" r="19050" b="2032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294005"/>
                        </a:xfrm>
                        <a:prstGeom prst="rect">
                          <a:avLst/>
                        </a:prstGeom>
                        <a:solidFill>
                          <a:srgbClr val="FFFFFF"/>
                        </a:solidFill>
                        <a:ln w="38100">
                          <a:solidFill>
                            <a:srgbClr val="4BACC6"/>
                          </a:solidFill>
                          <a:miter lim="800000"/>
                          <a:headEnd/>
                          <a:tailEnd/>
                        </a:ln>
                      </wps:spPr>
                      <wps:txbx>
                        <w:txbxContent>
                          <w:p w:rsidR="007B3E2E" w:rsidRPr="009F7129" w:rsidRDefault="007B3E2E"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502.85pt;height:2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" strokecolor="#4bacc6" strokeweight="3pt">
                <v:textbox>
                  <w:txbxContent>
                    <w:p w:rsidR="007B3E2E" w:rsidRPr="009F7129" w:rsidRDefault="007B3E2E"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lastRenderedPageBreak/>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8404BF" w:rsidP="007B3E2E">
            <w:pPr>
              <w:pStyle w:val="NoSpacing"/>
              <w:rPr>
                <w:rFonts w:cs="Arial"/>
                <w:color w:val="385623"/>
              </w:rPr>
            </w:pPr>
            <w:r>
              <w:rPr>
                <w:rFonts w:cs="Arial"/>
                <w:b/>
                <w:sz w:val="28"/>
                <w:szCs w:val="28"/>
              </w:rPr>
              <w:t xml:space="preserve">Implementation of the Regional Policy of </w:t>
            </w:r>
            <w:r w:rsidR="007B3E2E" w:rsidRPr="007B3E2E">
              <w:rPr>
                <w:rFonts w:cs="Arial"/>
                <w:b/>
                <w:sz w:val="28"/>
                <w:szCs w:val="28"/>
              </w:rPr>
              <w:t>Management of Diabetes (over 16 years old) in the</w:t>
            </w:r>
            <w:r w:rsidR="007B3E2E">
              <w:rPr>
                <w:rFonts w:cs="Arial"/>
                <w:b/>
                <w:sz w:val="28"/>
                <w:szCs w:val="28"/>
              </w:rPr>
              <w:t xml:space="preserve"> </w:t>
            </w:r>
            <w:r w:rsidR="007B3E2E" w:rsidRPr="007B3E2E">
              <w:rPr>
                <w:rFonts w:cs="Arial"/>
                <w:b/>
                <w:sz w:val="28"/>
                <w:szCs w:val="28"/>
              </w:rPr>
              <w:t>Perioperative Period in the Adult Hospital Setting</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7B3E2E" w:rsidRDefault="00467C0D" w:rsidP="00F155AF">
            <w:pPr>
              <w:spacing w:after="0"/>
              <w:rPr>
                <w:rFonts w:cs="Arial"/>
                <w:sz w:val="24"/>
                <w:u w:val="single"/>
              </w:rPr>
            </w:pPr>
            <w:r w:rsidRPr="007B3E2E">
              <w:rPr>
                <w:rFonts w:cs="Arial"/>
                <w:sz w:val="24"/>
                <w:u w:val="single"/>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7B3E2E" w:rsidRDefault="00467C0D" w:rsidP="003D5312">
            <w:pPr>
              <w:spacing w:after="0" w:line="240" w:lineRule="auto"/>
              <w:rPr>
                <w:rFonts w:cs="Arial"/>
                <w:sz w:val="24"/>
                <w:u w:val="single"/>
              </w:rPr>
            </w:pPr>
            <w:r w:rsidRPr="007B3E2E">
              <w:rPr>
                <w:rFonts w:cs="Arial"/>
                <w:sz w:val="24"/>
                <w:u w:val="single"/>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8404BF" w:rsidRDefault="008404BF" w:rsidP="008404BF">
            <w:pPr>
              <w:spacing w:after="0" w:line="240" w:lineRule="auto"/>
              <w:contextualSpacing/>
              <w:rPr>
                <w:rFonts w:cs="Arial"/>
                <w:b/>
                <w:sz w:val="24"/>
              </w:rPr>
            </w:pPr>
            <w:r>
              <w:rPr>
                <w:rFonts w:cs="Arial"/>
                <w:b/>
                <w:sz w:val="24"/>
              </w:rPr>
              <w:t>Background</w:t>
            </w:r>
          </w:p>
          <w:p w:rsidR="008404BF" w:rsidRPr="00CC0257" w:rsidRDefault="008404BF" w:rsidP="008404BF">
            <w:pPr>
              <w:pStyle w:val="paragraph"/>
              <w:ind w:right="-195"/>
              <w:textAlignment w:val="baseline"/>
              <w:rPr>
                <w:rStyle w:val="eop"/>
                <w:rFonts w:ascii="Arial" w:hAnsi="Arial" w:cs="Arial"/>
              </w:rPr>
            </w:pPr>
            <w:r w:rsidRPr="00CC0257">
              <w:rPr>
                <w:rStyle w:val="eop"/>
                <w:rFonts w:ascii="Arial" w:hAnsi="Arial" w:cs="Arial"/>
              </w:rPr>
              <w:t xml:space="preserve">All patients with diabetes undergoing surgical procedures are at risk of a disturbance of their diabetic control. This is multifactorial and is usually due to a combination of fasting and altered food intake, the underlying illness and associated physical stress and the medical interventions carried out including surgery itself and, for example, the addition of glucocorticoids. Disturbance of glucose control is associated with adverse surgical outcomes and prolonged hospital stay and it is therefore highly desirable to maintain normal or close to normal glucose levels before, during and after the surgical procedure if possible. </w:t>
            </w:r>
          </w:p>
          <w:p w:rsidR="008404BF" w:rsidRPr="00CC0257" w:rsidRDefault="008404BF" w:rsidP="008404BF">
            <w:pPr>
              <w:pStyle w:val="paragraph"/>
              <w:ind w:right="-195"/>
              <w:textAlignment w:val="baseline"/>
              <w:rPr>
                <w:rStyle w:val="eop"/>
                <w:rFonts w:ascii="Arial" w:hAnsi="Arial" w:cs="Arial"/>
              </w:rPr>
            </w:pPr>
            <w:r w:rsidRPr="00CC0257">
              <w:rPr>
                <w:rStyle w:val="eop"/>
                <w:rFonts w:ascii="Arial" w:hAnsi="Arial" w:cs="Arial"/>
              </w:rPr>
              <w:t xml:space="preserve">There are a variety of regimens used to control glucose levels peri-operatively. It is preferable for a uniform approach where possible and thus national guidance was released by the Joint British Diabetes Societies and  CPOC (Centre for Perioperative Care). This regional policy developed by the Diabetes Network Northern Ireland is based on this national guidance and aims to standardise care across trusts. </w:t>
            </w:r>
          </w:p>
          <w:p w:rsidR="008404BF" w:rsidRPr="007F15DD" w:rsidRDefault="008404BF" w:rsidP="008404BF">
            <w:pPr>
              <w:pStyle w:val="paragraph"/>
              <w:spacing w:before="0" w:beforeAutospacing="0" w:after="0" w:afterAutospacing="0"/>
              <w:ind w:right="-195"/>
              <w:textAlignment w:val="baseline"/>
              <w:rPr>
                <w:rFonts w:ascii="Arial" w:hAnsi="Arial" w:cs="Arial"/>
              </w:rPr>
            </w:pPr>
            <w:r w:rsidRPr="00CC0257">
              <w:rPr>
                <w:rStyle w:val="eop"/>
                <w:rFonts w:ascii="Arial" w:hAnsi="Arial" w:cs="Arial"/>
              </w:rPr>
              <w:t>This policy outlines the management of a patient with diabetes undergoing a day procedure or surgical intervention. Instruction is given as to the management of both oral and injectable treatments from the day before the procedure until the patient is eating and drinking again. Advice is given on when and how to use an intravenous insulin infusion and appropriate intravenous fluids to use.</w:t>
            </w:r>
          </w:p>
          <w:p w:rsidR="008404BF" w:rsidRDefault="008404BF" w:rsidP="008404BF">
            <w:pPr>
              <w:spacing w:after="0" w:line="240" w:lineRule="auto"/>
              <w:contextualSpacing/>
              <w:rPr>
                <w:rFonts w:cs="Arial"/>
                <w:b/>
                <w:sz w:val="24"/>
              </w:rPr>
            </w:pPr>
          </w:p>
          <w:p w:rsidR="008404BF" w:rsidRPr="008404BF" w:rsidRDefault="008404BF" w:rsidP="008404BF">
            <w:pPr>
              <w:spacing w:after="0" w:line="240" w:lineRule="auto"/>
              <w:contextualSpacing/>
              <w:rPr>
                <w:rFonts w:cs="Arial"/>
                <w:b/>
                <w:sz w:val="24"/>
              </w:rPr>
            </w:pPr>
            <w:r w:rsidRPr="008404BF">
              <w:rPr>
                <w:rFonts w:cs="Arial"/>
                <w:b/>
                <w:sz w:val="24"/>
              </w:rPr>
              <w:t>Objectives</w:t>
            </w:r>
          </w:p>
          <w:p w:rsidR="008404BF" w:rsidRPr="008404BF" w:rsidRDefault="008404BF" w:rsidP="008404BF">
            <w:pPr>
              <w:rPr>
                <w:rFonts w:cs="Arial"/>
                <w:sz w:val="24"/>
              </w:rPr>
            </w:pPr>
            <w:r w:rsidRPr="008404BF">
              <w:rPr>
                <w:rFonts w:eastAsia="Calibri" w:cs="Arial"/>
                <w:sz w:val="24"/>
              </w:rPr>
              <w:t>The aim is to safely manage people living with diabetes (diet, tablet or insulin treated) on the day before surgery, day of surgery and post-surgery.</w:t>
            </w:r>
          </w:p>
          <w:p w:rsidR="00F155AF" w:rsidRPr="007B3E2E" w:rsidRDefault="00F155AF" w:rsidP="00F155AF">
            <w:pPr>
              <w:spacing w:after="0"/>
              <w:rPr>
                <w:rFonts w:cs="Arial"/>
                <w:sz w:val="24"/>
              </w:rPr>
            </w:pPr>
          </w:p>
          <w:p w:rsidR="008404BF" w:rsidRDefault="007B3E2E" w:rsidP="00F155AF">
            <w:pPr>
              <w:spacing w:after="0"/>
              <w:rPr>
                <w:rFonts w:cs="Arial"/>
                <w:sz w:val="24"/>
              </w:rPr>
            </w:pPr>
            <w:r w:rsidRPr="007B3E2E">
              <w:rPr>
                <w:rFonts w:cs="Arial"/>
                <w:sz w:val="24"/>
              </w:rPr>
              <w:t>The policy is similar to the previous policy but provides additional more detailed information and advice on how to manage existing diabetes treatments.  There is also a section giving advice on managing diabetes when going for colonoscopy and taking bowel prep.</w:t>
            </w:r>
            <w:r w:rsidR="00F155AF" w:rsidRPr="007B3E2E">
              <w:rPr>
                <w:rFonts w:cs="Arial"/>
                <w:sz w:val="24"/>
              </w:rPr>
              <w:t xml:space="preserve"> </w:t>
            </w:r>
          </w:p>
          <w:p w:rsidR="008404BF" w:rsidRDefault="008404BF" w:rsidP="00F155AF">
            <w:pPr>
              <w:spacing w:after="0"/>
              <w:rPr>
                <w:rFonts w:cs="Arial"/>
                <w:sz w:val="24"/>
              </w:rPr>
            </w:pPr>
          </w:p>
          <w:p w:rsidR="008404BF" w:rsidRDefault="008404BF" w:rsidP="00F155AF">
            <w:pPr>
              <w:spacing w:after="0"/>
              <w:rPr>
                <w:rFonts w:eastAsia="Calibri" w:cs="Arial"/>
                <w:sz w:val="24"/>
              </w:rPr>
            </w:pPr>
            <w:r w:rsidRPr="008404BF">
              <w:rPr>
                <w:rFonts w:eastAsia="Calibri" w:cs="Arial"/>
                <w:sz w:val="24"/>
              </w:rPr>
              <w:t xml:space="preserve">The protocol applies to all nursing and medical staff managing all patients with diabetes (diet, tablet or insulin treated) on the day before surgery, day of surgery and post-surgery. </w:t>
            </w:r>
          </w:p>
          <w:p w:rsidR="008404BF" w:rsidRDefault="008404BF" w:rsidP="00F155AF">
            <w:pPr>
              <w:spacing w:after="0"/>
              <w:rPr>
                <w:rFonts w:eastAsia="Calibri" w:cs="Arial"/>
                <w:sz w:val="24"/>
              </w:rPr>
            </w:pPr>
          </w:p>
          <w:p w:rsidR="008404BF" w:rsidRPr="008404BF" w:rsidRDefault="008404BF" w:rsidP="00F155AF">
            <w:pPr>
              <w:spacing w:after="0"/>
              <w:rPr>
                <w:rFonts w:cs="Arial"/>
                <w:b/>
                <w:sz w:val="24"/>
              </w:rPr>
            </w:pPr>
            <w:r w:rsidRPr="008404BF">
              <w:rPr>
                <w:rFonts w:cs="Arial"/>
                <w:b/>
                <w:sz w:val="24"/>
              </w:rPr>
              <w:t>Dissemination</w:t>
            </w:r>
          </w:p>
          <w:p w:rsidR="00F155AF" w:rsidRPr="008404BF" w:rsidRDefault="00F155AF" w:rsidP="00F155AF">
            <w:pPr>
              <w:spacing w:after="0"/>
              <w:rPr>
                <w:rFonts w:cs="Arial"/>
                <w:sz w:val="22"/>
              </w:rPr>
            </w:pPr>
            <w:r w:rsidRPr="008404BF">
              <w:rPr>
                <w:rFonts w:cs="Arial"/>
                <w:sz w:val="22"/>
              </w:rPr>
              <w:t xml:space="preserve">                            </w:t>
            </w:r>
          </w:p>
          <w:p w:rsidR="008404BF" w:rsidRDefault="007B3E2E" w:rsidP="00231590">
            <w:pPr>
              <w:spacing w:after="0" w:line="240" w:lineRule="auto"/>
              <w:rPr>
                <w:rFonts w:cs="Arial"/>
                <w:sz w:val="24"/>
              </w:rPr>
            </w:pPr>
            <w:r w:rsidRPr="007B3E2E">
              <w:rPr>
                <w:rFonts w:cs="Arial"/>
                <w:sz w:val="24"/>
              </w:rPr>
              <w:t>The policy will be uploaded onto the Loop and it is already written into Encompass</w:t>
            </w:r>
            <w:r w:rsidR="00F155AF" w:rsidRPr="007B3E2E">
              <w:rPr>
                <w:rFonts w:cs="Arial"/>
                <w:sz w:val="24"/>
              </w:rPr>
              <w:t xml:space="preserve"> </w:t>
            </w:r>
          </w:p>
          <w:p w:rsidR="008404BF" w:rsidRDefault="00F155AF" w:rsidP="00231590">
            <w:pPr>
              <w:spacing w:after="0" w:line="240" w:lineRule="auto"/>
              <w:rPr>
                <w:rFonts w:cs="Arial"/>
                <w:sz w:val="24"/>
              </w:rPr>
            </w:pPr>
            <w:r w:rsidRPr="007B3E2E">
              <w:rPr>
                <w:rFonts w:cs="Arial"/>
                <w:sz w:val="24"/>
              </w:rPr>
              <w:t xml:space="preserve">                                                                                                              </w:t>
            </w:r>
          </w:p>
          <w:p w:rsidR="00467C0D" w:rsidRDefault="007B3E2E" w:rsidP="00231590">
            <w:pPr>
              <w:spacing w:after="0" w:line="240" w:lineRule="auto"/>
              <w:rPr>
                <w:rFonts w:cs="Arial"/>
                <w:sz w:val="24"/>
              </w:rPr>
            </w:pPr>
            <w:r w:rsidRPr="007B3E2E">
              <w:rPr>
                <w:rFonts w:cs="Arial"/>
                <w:sz w:val="24"/>
              </w:rPr>
              <w:t>The policy will be there for reference for staff looking for advice on management of diabetes in the perioperative period</w:t>
            </w:r>
            <w:r w:rsidR="008404BF">
              <w:rPr>
                <w:rFonts w:cs="Arial"/>
                <w:sz w:val="24"/>
              </w:rPr>
              <w:t>.</w:t>
            </w:r>
          </w:p>
          <w:p w:rsidR="008404BF" w:rsidRDefault="008404BF" w:rsidP="00231590">
            <w:pPr>
              <w:spacing w:after="0" w:line="240" w:lineRule="auto"/>
              <w:rPr>
                <w:rFonts w:cs="Arial"/>
                <w:sz w:val="24"/>
              </w:rPr>
            </w:pPr>
          </w:p>
          <w:p w:rsidR="008404BF" w:rsidRPr="008404BF" w:rsidRDefault="008404BF" w:rsidP="00231590">
            <w:pPr>
              <w:spacing w:after="0" w:line="240" w:lineRule="auto"/>
              <w:rPr>
                <w:rFonts w:cs="Arial"/>
                <w:b/>
                <w:sz w:val="24"/>
              </w:rPr>
            </w:pPr>
            <w:r w:rsidRPr="008404BF">
              <w:rPr>
                <w:rFonts w:cs="Arial"/>
                <w:b/>
                <w:sz w:val="24"/>
              </w:rPr>
              <w:lastRenderedPageBreak/>
              <w:t>Monitoring</w:t>
            </w:r>
          </w:p>
          <w:p w:rsidR="008404BF" w:rsidRPr="008404BF" w:rsidRDefault="008404BF" w:rsidP="00231590">
            <w:pPr>
              <w:spacing w:after="0" w:line="240" w:lineRule="auto"/>
              <w:rPr>
                <w:rFonts w:cs="Arial"/>
                <w:sz w:val="22"/>
              </w:rPr>
            </w:pPr>
            <w:r w:rsidRPr="008404BF">
              <w:rPr>
                <w:rStyle w:val="normaltextrun"/>
                <w:rFonts w:cs="Arial"/>
                <w:sz w:val="24"/>
              </w:rPr>
              <w:t xml:space="preserve">This policy is suitable for audit. KPIs are incidence of both hyper and hypoglycaemia in the peri-operative period, incidence of hyponatraemia, theatre cancellation due to abnormal glucose or biochemistry and length of stay. </w:t>
            </w:r>
            <w:r w:rsidRPr="008404BF">
              <w:rPr>
                <w:rStyle w:val="eop"/>
                <w:rFonts w:cs="Arial"/>
                <w:sz w:val="24"/>
              </w:rPr>
              <w:t> </w:t>
            </w:r>
          </w:p>
          <w:p w:rsidR="00467C0D" w:rsidRPr="00D75E22" w:rsidRDefault="00467C0D" w:rsidP="00467C0D">
            <w:pPr>
              <w:spacing w:after="0" w:line="240" w:lineRule="auto"/>
              <w:rPr>
                <w:rFonts w:cs="Arial"/>
                <w:color w:val="385623"/>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67C0D" w:rsidRDefault="0055192E" w:rsidP="00F155AF">
            <w:pPr>
              <w:spacing w:after="0" w:line="240" w:lineRule="auto"/>
              <w:rPr>
                <w:rFonts w:cs="Arial"/>
                <w:sz w:val="24"/>
              </w:rPr>
            </w:pPr>
            <w:r w:rsidRPr="0055192E">
              <w:rPr>
                <w:rFonts w:cs="Arial"/>
                <w:sz w:val="24"/>
              </w:rPr>
              <w:t xml:space="preserve">This is </w:t>
            </w:r>
            <w:r w:rsidR="008404BF">
              <w:rPr>
                <w:rFonts w:cs="Arial"/>
                <w:sz w:val="24"/>
              </w:rPr>
              <w:t xml:space="preserve">the implementation of </w:t>
            </w:r>
            <w:r w:rsidRPr="0055192E">
              <w:rPr>
                <w:rFonts w:cs="Arial"/>
                <w:sz w:val="24"/>
              </w:rPr>
              <w:t>a regional policy from the Northern Ireland Diabetes Network</w:t>
            </w:r>
            <w:r w:rsidR="008404BF">
              <w:rPr>
                <w:rFonts w:cs="Arial"/>
                <w:sz w:val="24"/>
              </w:rPr>
              <w:t>.</w:t>
            </w:r>
          </w:p>
          <w:p w:rsidR="008404BF" w:rsidRPr="0055192E" w:rsidRDefault="008404BF" w:rsidP="00F155AF">
            <w:pPr>
              <w:spacing w:after="0" w:line="240" w:lineRule="auto"/>
              <w:rPr>
                <w:rFonts w:cs="Arial"/>
                <w:sz w:val="24"/>
              </w:rPr>
            </w:pPr>
            <w:r>
              <w:rPr>
                <w:rFonts w:cs="Arial"/>
                <w:sz w:val="24"/>
              </w:rPr>
              <w:t>Director of Unscheduled Care</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467C0D" w:rsidRPr="0055192E" w:rsidRDefault="0055192E" w:rsidP="00F155AF">
            <w:pPr>
              <w:spacing w:after="0"/>
              <w:rPr>
                <w:rFonts w:cs="Arial"/>
                <w:sz w:val="24"/>
              </w:rPr>
            </w:pPr>
            <w:r w:rsidRPr="0055192E">
              <w:rPr>
                <w:rFonts w:cs="Arial"/>
                <w:sz w:val="24"/>
              </w:rPr>
              <w:t>The main stakeholders include service users and hospital staff</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467C0D" w:rsidRPr="00322DF0" w:rsidRDefault="0055192E" w:rsidP="002E327F">
            <w:pPr>
              <w:spacing w:after="0"/>
              <w:rPr>
                <w:rFonts w:cs="Arial"/>
                <w:sz w:val="24"/>
              </w:rPr>
            </w:pPr>
            <w:r>
              <w:rPr>
                <w:rFonts w:cs="Arial"/>
                <w:sz w:val="24"/>
              </w:rPr>
              <w:t>The policy was developed as part of the Diabetes Network with representation from all diabetes professional groups and all trusts and with involvement of service users and Diabetes UK</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Pr="008404BF" w:rsidRDefault="008404BF" w:rsidP="002E327F">
            <w:pPr>
              <w:spacing w:after="0"/>
              <w:rPr>
                <w:rFonts w:cs="Arial"/>
                <w:color w:val="FF0000"/>
                <w:sz w:val="24"/>
              </w:rPr>
            </w:pPr>
            <w:r w:rsidRPr="008404BF">
              <w:rPr>
                <w:rFonts w:cs="Arial"/>
                <w:sz w:val="24"/>
              </w:rPr>
              <w:t>Regional Policy Management of Diabetes (over 16 years old) in the Perioperative Period in the Adult Hospital Setting</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8404BF" w:rsidRDefault="008404BF" w:rsidP="008404BF">
            <w:pPr>
              <w:pStyle w:val="Default"/>
            </w:pPr>
            <w:r w:rsidRPr="00F73E58">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467C0D" w:rsidRPr="00F155AF" w:rsidRDefault="00467C0D" w:rsidP="0055192E">
            <w:pPr>
              <w:spacing w:after="0"/>
              <w:rPr>
                <w:rFonts w:cs="Arial"/>
                <w:color w:val="FF0000"/>
                <w:sz w:val="24"/>
              </w:rPr>
            </w:pP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5192E" w:rsidP="002E327F">
            <w:pPr>
              <w:spacing w:after="0" w:line="240" w:lineRule="auto"/>
              <w:jc w:val="center"/>
              <w:rPr>
                <w:rFonts w:cs="Arial"/>
                <w:b/>
                <w:sz w:val="24"/>
              </w:rPr>
            </w:pPr>
            <w:r>
              <w:rPr>
                <w:rFonts w:cs="Arial"/>
                <w:b/>
                <w:sz w:val="24"/>
              </w:rPr>
              <w:t>No</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5192E" w:rsidP="002E327F">
            <w:pPr>
              <w:spacing w:after="0" w:line="240" w:lineRule="auto"/>
              <w:jc w:val="center"/>
              <w:rPr>
                <w:rFonts w:cs="Arial"/>
                <w:b/>
                <w:sz w:val="24"/>
              </w:rPr>
            </w:pPr>
            <w:r>
              <w:rPr>
                <w:rFonts w:cs="Arial"/>
                <w:b/>
                <w:sz w:val="24"/>
              </w:rPr>
              <w:t>No</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5192E" w:rsidP="002E327F">
            <w:pPr>
              <w:spacing w:after="0" w:line="240" w:lineRule="auto"/>
              <w:jc w:val="center"/>
              <w:rPr>
                <w:rFonts w:cs="Arial"/>
                <w:b/>
                <w:sz w:val="24"/>
              </w:rPr>
            </w:pPr>
            <w:r>
              <w:rPr>
                <w:rFonts w:cs="Arial"/>
                <w:b/>
                <w:sz w:val="24"/>
              </w:rPr>
              <w:t>No</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5192E" w:rsidP="002E327F">
            <w:pPr>
              <w:spacing w:after="0" w:line="240" w:lineRule="auto"/>
              <w:jc w:val="center"/>
              <w:rPr>
                <w:rFonts w:cs="Arial"/>
                <w:b/>
                <w:sz w:val="24"/>
              </w:rPr>
            </w:pPr>
            <w:r>
              <w:rPr>
                <w:rFonts w:cs="Arial"/>
                <w:b/>
                <w:sz w:val="24"/>
              </w:rPr>
              <w:t>No</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5192E" w:rsidP="002E327F">
            <w:pPr>
              <w:spacing w:after="0" w:line="240" w:lineRule="auto"/>
              <w:jc w:val="center"/>
              <w:rPr>
                <w:rFonts w:cs="Arial"/>
                <w:b/>
                <w:sz w:val="24"/>
              </w:rPr>
            </w:pPr>
            <w:r>
              <w:rPr>
                <w:rFonts w:cs="Arial"/>
                <w:b/>
                <w:sz w:val="24"/>
              </w:rPr>
              <w:t>No</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5192E" w:rsidP="002E327F">
            <w:pPr>
              <w:spacing w:after="0" w:line="240" w:lineRule="auto"/>
              <w:rPr>
                <w:rFonts w:cs="Arial"/>
                <w:b/>
                <w:sz w:val="24"/>
              </w:rPr>
            </w:pPr>
            <w:r>
              <w:rPr>
                <w:rFonts w:cs="Arial"/>
                <w:b/>
                <w:sz w:val="24"/>
              </w:rPr>
              <w:t>No</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lastRenderedPageBreak/>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3930CF" w:rsidRDefault="0055192E" w:rsidP="002E327F">
            <w:pPr>
              <w:spacing w:after="0" w:line="240" w:lineRule="auto"/>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3930CF" w:rsidRDefault="0055192E" w:rsidP="002E327F">
            <w:pPr>
              <w:rPr>
                <w:rFonts w:cs="Arial"/>
                <w:sz w:val="24"/>
              </w:rPr>
            </w:pPr>
            <w:r>
              <w:rPr>
                <w:rFonts w:cs="Arial"/>
                <w:sz w:val="24"/>
              </w:rPr>
              <w:t>x</w:t>
            </w: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8C63FE"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2F78D6" w:rsidRPr="003930CF" w:rsidRDefault="0055192E" w:rsidP="002E327F">
            <w:pPr>
              <w:spacing w:after="0"/>
              <w:rPr>
                <w:rFonts w:cs="Arial"/>
                <w:sz w:val="24"/>
              </w:rPr>
            </w:pPr>
            <w:r>
              <w:rPr>
                <w:rFonts w:cs="Arial"/>
                <w:noProof/>
                <w:sz w:val="24"/>
                <w:lang w:eastAsia="en-GB"/>
              </w:rPr>
              <w:t>x</w:t>
            </w: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8C63FE">
              <w:rPr>
                <w:rFonts w:cs="Arial"/>
                <w:sz w:val="24"/>
              </w:rPr>
              <w:t xml:space="preserve"> </w:t>
            </w:r>
            <w:r w:rsidR="008C63FE" w:rsidRPr="008C63FE">
              <w:rPr>
                <w:rFonts w:cs="Arial"/>
                <w:noProof/>
                <w:sz w:val="24"/>
                <w:lang w:eastAsia="en-GB"/>
              </w:rPr>
              <w:drawing>
                <wp:inline distT="0" distB="0" distL="0" distR="0">
                  <wp:extent cx="1743075" cy="2476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3075" cy="247650"/>
                          </a:xfrm>
                          <a:prstGeom prst="rect">
                            <a:avLst/>
                          </a:prstGeom>
                          <a:noFill/>
                          <a:ln>
                            <a:noFill/>
                          </a:ln>
                        </pic:spPr>
                      </pic:pic>
                    </a:graphicData>
                  </a:graphic>
                </wp:inline>
              </w:drawing>
            </w:r>
          </w:p>
          <w:p w:rsidR="004C5F5C" w:rsidRPr="004C5F5C" w:rsidRDefault="004C5F5C" w:rsidP="002E327F">
            <w:pPr>
              <w:spacing w:after="0"/>
              <w:rPr>
                <w:rFonts w:cs="Arial"/>
                <w:sz w:val="24"/>
              </w:rPr>
            </w:pPr>
            <w:r w:rsidRPr="004C5F5C">
              <w:rPr>
                <w:rFonts w:cs="Arial"/>
                <w:sz w:val="24"/>
              </w:rPr>
              <w:t>Position:</w:t>
            </w:r>
            <w:r w:rsidR="008C63FE">
              <w:rPr>
                <w:rFonts w:cs="Arial"/>
                <w:sz w:val="24"/>
              </w:rPr>
              <w:t xml:space="preserve"> Consultant Physician</w:t>
            </w:r>
          </w:p>
          <w:p w:rsidR="004C5F5C" w:rsidRDefault="004C5F5C" w:rsidP="002E327F">
            <w:pPr>
              <w:spacing w:after="0"/>
              <w:rPr>
                <w:rFonts w:cs="Arial"/>
                <w:sz w:val="24"/>
              </w:rPr>
            </w:pPr>
            <w:r w:rsidRPr="004C5F5C">
              <w:rPr>
                <w:rFonts w:cs="Arial"/>
                <w:sz w:val="24"/>
              </w:rPr>
              <w:t>Date:</w:t>
            </w:r>
            <w:r w:rsidR="008C63FE">
              <w:rPr>
                <w:rFonts w:cs="Arial"/>
                <w:sz w:val="24"/>
              </w:rPr>
              <w:t>25/6/25</w:t>
            </w:r>
            <w:bookmarkStart w:id="0" w:name="_GoBack"/>
            <w:bookmarkEnd w:id="0"/>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8404BF">
              <w:rPr>
                <w:rFonts w:cs="Arial"/>
                <w:sz w:val="24"/>
              </w:rPr>
              <w:t>Hilary Patterson</w:t>
            </w:r>
          </w:p>
          <w:p w:rsidR="004C5F5C" w:rsidRPr="004C5F5C" w:rsidRDefault="004C5F5C" w:rsidP="002E327F">
            <w:pPr>
              <w:spacing w:after="0"/>
              <w:rPr>
                <w:rFonts w:cs="Arial"/>
                <w:sz w:val="24"/>
              </w:rPr>
            </w:pPr>
            <w:r w:rsidRPr="004C5F5C">
              <w:rPr>
                <w:rFonts w:cs="Arial"/>
                <w:sz w:val="24"/>
              </w:rPr>
              <w:t>Date:</w:t>
            </w:r>
            <w:r w:rsidR="008404BF">
              <w:rPr>
                <w:rFonts w:cs="Arial"/>
                <w:sz w:val="24"/>
              </w:rPr>
              <w:t xml:space="preserve"> 25/06/2025</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6"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8C63FE" w:rsidP="002E327F">
            <w:pPr>
              <w:spacing w:after="0" w:line="240" w:lineRule="auto"/>
              <w:rPr>
                <w:rFonts w:eastAsia="Calibri" w:cs="Arial"/>
                <w:sz w:val="24"/>
              </w:rPr>
            </w:pPr>
            <w:hyperlink r:id="rId17"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lastRenderedPageBreak/>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lastRenderedPageBreak/>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lastRenderedPageBreak/>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8"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9"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6B7F5C" w:rsidP="008421D3">
            <w:pPr>
              <w:spacing w:after="0" w:line="240" w:lineRule="auto"/>
              <w:jc w:val="center"/>
              <w:rPr>
                <w:rFonts w:cs="Arial"/>
                <w:sz w:val="24"/>
              </w:rPr>
            </w:pPr>
            <w:r w:rsidRPr="008421D3">
              <w:rPr>
                <w:rFonts w:cs="Arial"/>
                <w:noProof/>
                <w:sz w:val="24"/>
                <w:lang w:eastAsia="en-GB"/>
              </w:rPr>
              <w:drawing>
                <wp:inline distT="0" distB="0" distL="0" distR="0">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lastRenderedPageBreak/>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lastRenderedPageBreak/>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1"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2"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7B3E2E" w:rsidRDefault="007B3E2E"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7B3E2E" w:rsidRDefault="007B3E2E"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3"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lastRenderedPageBreak/>
              <w:t>Please go to</w:t>
            </w:r>
            <w:r w:rsidR="007866FC">
              <w:rPr>
                <w:rFonts w:cs="Arial"/>
                <w:sz w:val="24"/>
              </w:rPr>
              <w:t xml:space="preserve"> the</w:t>
            </w:r>
            <w:r>
              <w:rPr>
                <w:rFonts w:cs="Arial"/>
                <w:sz w:val="24"/>
              </w:rPr>
              <w:t xml:space="preserve">: </w:t>
            </w:r>
            <w:hyperlink r:id="rId24"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5"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6"/>
      <w:footerReference w:type="default" r:id="rId27"/>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3E2E" w:rsidRDefault="007B3E2E">
      <w:r>
        <w:separator/>
      </w:r>
    </w:p>
  </w:endnote>
  <w:endnote w:type="continuationSeparator" w:id="0">
    <w:p w:rsidR="007B3E2E" w:rsidRDefault="007B3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E2E" w:rsidRDefault="007B3E2E"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B3E2E" w:rsidRDefault="007B3E2E"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E2E" w:rsidRDefault="007B3E2E">
    <w:pPr>
      <w:pStyle w:val="Footer"/>
      <w:jc w:val="right"/>
    </w:pPr>
    <w:r>
      <w:fldChar w:fldCharType="begin"/>
    </w:r>
    <w:r>
      <w:instrText xml:space="preserve"> PAGE   \* MERGEFORMAT </w:instrText>
    </w:r>
    <w:r>
      <w:fldChar w:fldCharType="separate"/>
    </w:r>
    <w:r w:rsidR="008C63FE">
      <w:rPr>
        <w:noProof/>
      </w:rPr>
      <w:t>7</w:t>
    </w:r>
    <w:r>
      <w:rPr>
        <w:noProof/>
      </w:rPr>
      <w:fldChar w:fldCharType="end"/>
    </w:r>
  </w:p>
  <w:p w:rsidR="007B3E2E" w:rsidRDefault="007B3E2E"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3E2E" w:rsidRDefault="007B3E2E">
      <w:r>
        <w:separator/>
      </w:r>
    </w:p>
  </w:footnote>
  <w:footnote w:type="continuationSeparator" w:id="0">
    <w:p w:rsidR="007B3E2E" w:rsidRDefault="007B3E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49F0704"/>
    <w:multiLevelType w:val="multilevel"/>
    <w:tmpl w:val="A274A6F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4"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4"/>
  </w:num>
  <w:num w:numId="15">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921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192E"/>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3E2E"/>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04BF"/>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C63FE"/>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o:colormru v:ext="edit" colors="#e8f5f8,#f3f9fb"/>
    </o:shapedefaults>
    <o:shapelayout v:ext="edit">
      <o:idmap v:ext="edit" data="1"/>
    </o:shapelayout>
  </w:shapeDefaults>
  <w:decimalSymbol w:val="."/>
  <w:listSeparator w:val=","/>
  <w14:docId w14:val="5AAA1798"/>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Spacing">
    <w:name w:val="No Spacing"/>
    <w:uiPriority w:val="1"/>
    <w:qFormat/>
    <w:rsid w:val="007B3E2E"/>
    <w:rPr>
      <w:rFonts w:ascii="Arial" w:hAnsi="Arial"/>
      <w:sz w:val="24"/>
      <w:lang w:eastAsia="en-US"/>
    </w:rPr>
  </w:style>
  <w:style w:type="paragraph" w:customStyle="1" w:styleId="paragraph">
    <w:name w:val="paragraph"/>
    <w:basedOn w:val="Normal"/>
    <w:rsid w:val="008404BF"/>
    <w:pPr>
      <w:spacing w:before="100" w:beforeAutospacing="1" w:after="100" w:afterAutospacing="1" w:line="240" w:lineRule="auto"/>
    </w:pPr>
    <w:rPr>
      <w:rFonts w:ascii="Times New Roman" w:hAnsi="Times New Roman"/>
      <w:sz w:val="24"/>
      <w:lang w:eastAsia="en-GB"/>
    </w:rPr>
  </w:style>
  <w:style w:type="character" w:customStyle="1" w:styleId="eop">
    <w:name w:val="eop"/>
    <w:basedOn w:val="DefaultParagraphFont"/>
    <w:rsid w:val="008404BF"/>
  </w:style>
  <w:style w:type="character" w:customStyle="1" w:styleId="normaltextrun">
    <w:name w:val="normaltextrun"/>
    <w:basedOn w:val="DefaultParagraphFont"/>
    <w:rsid w:val="008404BF"/>
  </w:style>
  <w:style w:type="paragraph" w:customStyle="1" w:styleId="Default">
    <w:name w:val="Default"/>
    <w:rsid w:val="008404BF"/>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view.pagetiger.com/equalityscreening/1"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5" Type="http://schemas.openxmlformats.org/officeDocument/2006/relationships/hyperlink" Target="mailto:Estella.Dorrian@belfasttrust.hscni.net" TargetMode="External"/><Relationship Id="rId2" Type="http://schemas.openxmlformats.org/officeDocument/2006/relationships/customXml" Target="../customXml/item2.xml"/><Relationship Id="rId16" Type="http://schemas.openxmlformats.org/officeDocument/2006/relationships/hyperlink" Target="https://www.equalityni.org/ECNI/media/ECNI/Publications/Employers%20and%20Service%20Providers/Public%20Authorities/S75DataSignpostingGuide.pdf" TargetMode="External"/><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ruralcommunitynetwork.org/app/uploads/2022/10/NI-Rural-Health-and-Care-Toolkit-Final-version-1.pdf" TargetMode="External"/><Relationship Id="rId5" Type="http://schemas.openxmlformats.org/officeDocument/2006/relationships/customXml" Target="../customXml/item5.xml"/><Relationship Id="rId15" Type="http://schemas.openxmlformats.org/officeDocument/2006/relationships/image" Target="media/image2.emf"/><Relationship Id="rId23" Type="http://schemas.openxmlformats.org/officeDocument/2006/relationships/hyperlink" Target="https://bhsct.sharepoint.com/:w:/r/sites/pe/_layouts/15/Doc.aspx?sourcedoc=%7BD1FB1BB8-E4B8-417C-9CA8-F9C69D07B983%7D&amp;file=Rural-Need-Template.docx&amp;action=default&amp;mobileredirect=true"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equalityscreenings@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elfasttrust.hscni.net/about/publications/equality-and-human-rights-screening/"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B6842FF-8EB3-4AC7-8CF6-93E6D5A48913}"/>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14F59DB4-9D5E-4E64-8233-9029173BFC1C}">
  <ds:schemaRefs>
    <ds:schemaRef ds:uri="http://purl.org/dc/elements/1.1/"/>
    <ds:schemaRef ds:uri="http://schemas.microsoft.com/office/2006/metadata/properties"/>
    <ds:schemaRef ds:uri="http://schemas.microsoft.com/office/2006/documentManagement/types"/>
    <ds:schemaRef ds:uri="http://schemas.microsoft.com/sharepoint/v3"/>
    <ds:schemaRef ds:uri="9ec64be7-630e-4cc8-a960-47c30d61a785"/>
    <ds:schemaRef ds:uri="http://purl.org/dc/terms/"/>
    <ds:schemaRef ds:uri="http://schemas.openxmlformats.org/package/2006/metadata/core-properties"/>
    <ds:schemaRef ds:uri="http://schemas.microsoft.com/office/infopath/2007/PartnerControls"/>
    <ds:schemaRef ds:uri="http://purl.org/dc/dcmitype/"/>
    <ds:schemaRef ds:uri="36d907eb-6caa-4095-aaa9-19cb11754f85"/>
    <ds:schemaRef ds:uri="http://schemas.microsoft.com/sharepoint/v3/fields"/>
    <ds:schemaRef ds:uri="3ecf6847-0f14-42a9-a191-c3e5cf81f4ed"/>
    <ds:schemaRef ds:uri="http://www.w3.org/XML/1998/namespace"/>
  </ds:schemaRefs>
</ds:datastoreItem>
</file>

<file path=customXml/itemProps5.xml><?xml version="1.0" encoding="utf-8"?>
<ds:datastoreItem xmlns:ds="http://schemas.openxmlformats.org/officeDocument/2006/customXml" ds:itemID="{6D75DA3E-A391-4029-91EC-93C430883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3694</Words>
  <Characters>24900</Characters>
  <Application>Microsoft Office Word</Application>
  <DocSecurity>4</DocSecurity>
  <Lines>207</Lines>
  <Paragraphs>57</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28537</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Lewis, Anthony</cp:lastModifiedBy>
  <cp:revision>2</cp:revision>
  <cp:lastPrinted>2015-01-12T11:34:00Z</cp:lastPrinted>
  <dcterms:created xsi:type="dcterms:W3CDTF">2025-06-25T15:09:00Z</dcterms:created>
  <dcterms:modified xsi:type="dcterms:W3CDTF">2025-06-25T15:09:00Z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