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1FF59" w14:textId="77777777" w:rsidR="008B7446" w:rsidRPr="009C2693" w:rsidRDefault="008B7446" w:rsidP="008B7446">
      <w:pPr>
        <w:jc w:val="center"/>
        <w:rPr>
          <w:rFonts w:ascii="Arial" w:hAnsi="Arial" w:cs="Arial"/>
        </w:rPr>
      </w:pPr>
      <w:r w:rsidRPr="009C2693">
        <w:rPr>
          <w:rFonts w:ascii="Arial" w:hAnsi="Arial" w:cs="Arial"/>
          <w:noProof/>
          <w:sz w:val="20"/>
        </w:rPr>
        <mc:AlternateContent>
          <mc:Choice Requires="wps">
            <w:drawing>
              <wp:anchor distT="0" distB="0" distL="114300" distR="114300" simplePos="0" relativeHeight="251658240" behindDoc="0" locked="0" layoutInCell="1" allowOverlap="1" wp14:anchorId="7902CE53" wp14:editId="7BB22BE7">
                <wp:simplePos x="0" y="0"/>
                <wp:positionH relativeFrom="column">
                  <wp:posOffset>342900</wp:posOffset>
                </wp:positionH>
                <wp:positionV relativeFrom="paragraph">
                  <wp:posOffset>6629400</wp:posOffset>
                </wp:positionV>
                <wp:extent cx="4176395" cy="1828800"/>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639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8F396" w14:textId="77777777" w:rsidR="005B7779" w:rsidRPr="00CB4A96" w:rsidRDefault="005B7779" w:rsidP="008B7446">
                            <w:pPr>
                              <w:pStyle w:val="Heading1"/>
                              <w:rPr>
                                <w:color w:val="FFFFFF"/>
                                <w:sz w:val="36"/>
                                <w:szCs w:val="36"/>
                              </w:rPr>
                            </w:pPr>
                          </w:p>
                          <w:p w14:paraId="72A3D3EC" w14:textId="77777777" w:rsidR="005B7779" w:rsidRPr="00CB4A96" w:rsidRDefault="005B7779" w:rsidP="008B7446">
                            <w:pPr>
                              <w:pStyle w:val="Heading1"/>
                              <w:rPr>
                                <w:color w:val="FFFFFF"/>
                                <w:sz w:val="36"/>
                                <w:szCs w:val="36"/>
                              </w:rPr>
                            </w:pPr>
                          </w:p>
                          <w:p w14:paraId="0D0B940D" w14:textId="77777777" w:rsidR="005B7779" w:rsidRPr="00CB4A96" w:rsidRDefault="005B7779" w:rsidP="008B7446">
                            <w:pPr>
                              <w:rPr>
                                <w:color w:val="FFFFFF"/>
                                <w:sz w:val="36"/>
                                <w:szCs w:val="36"/>
                              </w:rPr>
                            </w:pPr>
                          </w:p>
                          <w:p w14:paraId="0E27B00A" w14:textId="77777777" w:rsidR="005B7779" w:rsidRPr="00CB4A96" w:rsidRDefault="005B7779" w:rsidP="008B7446">
                            <w:pPr>
                              <w:rPr>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7902CE53">
                <v:stroke joinstyle="miter"/>
                <v:path gradientshapeok="t" o:connecttype="rect"/>
              </v:shapetype>
              <v:shape id="Text Box 2" style="position:absolute;left:0;text-align:left;margin-left:27pt;margin-top:522pt;width:328.8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nJ9uQ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">
                <v:textbox>
                  <w:txbxContent>
                    <w:p w:rsidRPr="00CB4A96" w:rsidR="005B7779" w:rsidP="008B7446" w:rsidRDefault="005B7779" w14:paraId="41C8F396" w14:textId="77777777">
                      <w:pPr>
                        <w:pStyle w:val="Heading1"/>
                        <w:rPr>
                          <w:color w:val="FFFFFF"/>
                          <w:sz w:val="36"/>
                          <w:szCs w:val="36"/>
                        </w:rPr>
                      </w:pPr>
                    </w:p>
                    <w:p w:rsidRPr="00CB4A96" w:rsidR="005B7779" w:rsidP="008B7446" w:rsidRDefault="005B7779" w14:paraId="72A3D3EC" w14:textId="77777777">
                      <w:pPr>
                        <w:pStyle w:val="Heading1"/>
                        <w:rPr>
                          <w:color w:val="FFFFFF"/>
                          <w:sz w:val="36"/>
                          <w:szCs w:val="36"/>
                        </w:rPr>
                      </w:pPr>
                    </w:p>
                    <w:p w:rsidRPr="00CB4A96" w:rsidR="005B7779" w:rsidP="008B7446" w:rsidRDefault="005B7779" w14:paraId="0D0B940D" w14:textId="77777777">
                      <w:pPr>
                        <w:rPr>
                          <w:color w:val="FFFFFF"/>
                          <w:sz w:val="36"/>
                          <w:szCs w:val="36"/>
                        </w:rPr>
                      </w:pPr>
                    </w:p>
                    <w:p w:rsidRPr="00CB4A96" w:rsidR="005B7779" w:rsidP="008B7446" w:rsidRDefault="005B7779" w14:paraId="0E27B00A" w14:textId="77777777">
                      <w:pPr>
                        <w:rPr>
                          <w:color w:val="FFFFFF"/>
                          <w:sz w:val="36"/>
                          <w:szCs w:val="36"/>
                        </w:rPr>
                      </w:pPr>
                    </w:p>
                  </w:txbxContent>
                </v:textbox>
              </v:shape>
            </w:pict>
          </mc:Fallback>
        </mc:AlternateContent>
      </w:r>
      <w:r w:rsidRPr="0072489D">
        <w:rPr>
          <w:rFonts w:ascii="Arial" w:hAnsi="Arial" w:cs="Arial"/>
          <w:noProof/>
        </w:rPr>
        <w:drawing>
          <wp:inline distT="0" distB="0" distL="0" distR="0" wp14:anchorId="7D4B3087" wp14:editId="4891B5BC">
            <wp:extent cx="2409825" cy="657225"/>
            <wp:effectExtent l="0" t="0" r="9525" b="9525"/>
            <wp:docPr id="4" name="Picture 1" descr="BHSCTma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HSCTmain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825" cy="657225"/>
                    </a:xfrm>
                    <a:prstGeom prst="rect">
                      <a:avLst/>
                    </a:prstGeom>
                    <a:noFill/>
                    <a:ln>
                      <a:noFill/>
                    </a:ln>
                  </pic:spPr>
                </pic:pic>
              </a:graphicData>
            </a:graphic>
          </wp:inline>
        </w:drawing>
      </w:r>
    </w:p>
    <w:p w14:paraId="3656B9AB" w14:textId="77777777" w:rsidR="008B7446" w:rsidRPr="009C2693" w:rsidRDefault="008B7446" w:rsidP="008B7446">
      <w:pPr>
        <w:rPr>
          <w:rFonts w:ascii="Arial" w:hAnsi="Arial" w:cs="Arial"/>
        </w:rPr>
      </w:pPr>
    </w:p>
    <w:p w14:paraId="49BD2909" w14:textId="017F330B" w:rsidR="23BB3259" w:rsidRDefault="23BB3259" w:rsidP="23BB3259">
      <w:pPr>
        <w:rPr>
          <w:rFonts w:ascii="Arial" w:hAnsi="Arial" w:cs="Arial"/>
        </w:rPr>
      </w:pPr>
    </w:p>
    <w:p w14:paraId="41F3AE36" w14:textId="674CB85C" w:rsidR="23BB3259" w:rsidRDefault="23BB3259" w:rsidP="23BB3259">
      <w:pPr>
        <w:rPr>
          <w:rFonts w:ascii="Arial" w:hAnsi="Arial" w:cs="Arial"/>
        </w:rPr>
      </w:pPr>
    </w:p>
    <w:p w14:paraId="3D94EF57" w14:textId="43A8933E" w:rsidR="23BB3259" w:rsidRDefault="23BB3259" w:rsidP="23BB3259">
      <w:pPr>
        <w:rPr>
          <w:rFonts w:ascii="Arial" w:hAnsi="Arial" w:cs="Arial"/>
        </w:rPr>
      </w:pPr>
    </w:p>
    <w:p w14:paraId="64AFC8C7" w14:textId="20BC1B9C" w:rsidR="23BB3259" w:rsidRDefault="23BB3259" w:rsidP="23BB3259">
      <w:pPr>
        <w:rPr>
          <w:rFonts w:ascii="Arial" w:hAnsi="Arial" w:cs="Arial"/>
        </w:rPr>
      </w:pPr>
    </w:p>
    <w:p w14:paraId="2086FB20" w14:textId="6DF8C4C5" w:rsidR="23BB3259" w:rsidRDefault="23BB3259" w:rsidP="23BB3259">
      <w:pPr>
        <w:rPr>
          <w:rFonts w:ascii="Arial" w:hAnsi="Arial" w:cs="Arial"/>
        </w:rPr>
      </w:pPr>
    </w:p>
    <w:p w14:paraId="5161B59D" w14:textId="53413979" w:rsidR="23BB3259" w:rsidRDefault="23BB3259" w:rsidP="23BB3259">
      <w:pPr>
        <w:rPr>
          <w:rFonts w:ascii="Arial" w:hAnsi="Arial" w:cs="Arial"/>
        </w:rPr>
      </w:pPr>
    </w:p>
    <w:p w14:paraId="3F29243D" w14:textId="48914F92" w:rsidR="23BB3259" w:rsidRDefault="23BB3259" w:rsidP="23BB3259">
      <w:pPr>
        <w:rPr>
          <w:rFonts w:ascii="Arial" w:hAnsi="Arial" w:cs="Arial"/>
        </w:rPr>
      </w:pPr>
    </w:p>
    <w:p w14:paraId="7ECDCFE8" w14:textId="654A2AD7" w:rsidR="23BB3259" w:rsidRDefault="23BB3259" w:rsidP="23BB3259">
      <w:pPr>
        <w:rPr>
          <w:rFonts w:ascii="Arial" w:hAnsi="Arial" w:cs="Arial"/>
        </w:rPr>
      </w:pPr>
    </w:p>
    <w:p w14:paraId="2A5ECB56" w14:textId="51191A4F" w:rsidR="23BB3259" w:rsidRDefault="23BB3259" w:rsidP="23BB3259">
      <w:pPr>
        <w:rPr>
          <w:rFonts w:ascii="Arial" w:hAnsi="Arial" w:cs="Arial"/>
        </w:rPr>
      </w:pPr>
    </w:p>
    <w:p w14:paraId="6181A920" w14:textId="2EA19D2D" w:rsidR="23BB3259" w:rsidRDefault="23BB3259" w:rsidP="23BB3259">
      <w:pPr>
        <w:rPr>
          <w:rFonts w:ascii="Arial" w:hAnsi="Arial" w:cs="Arial"/>
        </w:rPr>
      </w:pPr>
    </w:p>
    <w:p w14:paraId="656AD982" w14:textId="74D114DF" w:rsidR="4D3032FE" w:rsidRDefault="4D3032FE" w:rsidP="23BB3259">
      <w:pPr>
        <w:jc w:val="center"/>
        <w:rPr>
          <w:rFonts w:ascii="Arial" w:hAnsi="Arial" w:cs="Arial"/>
          <w:b/>
          <w:bCs/>
          <w:sz w:val="56"/>
          <w:szCs w:val="56"/>
        </w:rPr>
      </w:pPr>
      <w:r w:rsidRPr="23BB3259">
        <w:rPr>
          <w:rFonts w:ascii="Arial" w:hAnsi="Arial" w:cs="Arial"/>
          <w:b/>
          <w:bCs/>
          <w:sz w:val="56"/>
          <w:szCs w:val="56"/>
        </w:rPr>
        <w:t xml:space="preserve">Screening Outcome Report </w:t>
      </w:r>
    </w:p>
    <w:p w14:paraId="4723F9E7" w14:textId="66DDB8D2" w:rsidR="23BB3259" w:rsidRDefault="23BB3259" w:rsidP="23BB3259">
      <w:pPr>
        <w:jc w:val="center"/>
        <w:rPr>
          <w:rFonts w:ascii="Arial" w:hAnsi="Arial" w:cs="Arial"/>
          <w:b/>
          <w:bCs/>
          <w:sz w:val="56"/>
          <w:szCs w:val="56"/>
        </w:rPr>
      </w:pPr>
    </w:p>
    <w:p w14:paraId="2A291E34" w14:textId="66A22A0C" w:rsidR="4D3032FE" w:rsidRDefault="52AA21D5" w:rsidP="23BB3259">
      <w:pPr>
        <w:jc w:val="center"/>
        <w:rPr>
          <w:rFonts w:ascii="Arial" w:hAnsi="Arial" w:cs="Arial"/>
          <w:sz w:val="44"/>
          <w:szCs w:val="44"/>
        </w:rPr>
        <w:sectPr w:rsidR="4D3032FE" w:rsidSect="00107C2C">
          <w:headerReference w:type="default" r:id="rId12"/>
          <w:footerReference w:type="even" r:id="rId13"/>
          <w:footerReference w:type="default" r:id="rId14"/>
          <w:headerReference w:type="first" r:id="rId15"/>
          <w:footerReference w:type="first" r:id="rId16"/>
          <w:pgSz w:w="11906" w:h="16838" w:code="9"/>
          <w:pgMar w:top="0" w:right="0" w:bottom="0" w:left="0" w:header="709" w:footer="709" w:gutter="0"/>
          <w:pgNumType w:start="0"/>
          <w:cols w:space="708"/>
          <w:titlePg/>
          <w:docGrid w:linePitch="360"/>
        </w:sectPr>
      </w:pPr>
      <w:r w:rsidRPr="161A3BA2">
        <w:rPr>
          <w:rFonts w:ascii="Arial" w:hAnsi="Arial" w:cs="Arial"/>
          <w:sz w:val="44"/>
          <w:szCs w:val="44"/>
        </w:rPr>
        <w:t>1</w:t>
      </w:r>
      <w:r w:rsidRPr="161A3BA2">
        <w:rPr>
          <w:rFonts w:ascii="Arial" w:hAnsi="Arial" w:cs="Arial"/>
          <w:sz w:val="44"/>
          <w:szCs w:val="44"/>
          <w:vertAlign w:val="superscript"/>
        </w:rPr>
        <w:t>st</w:t>
      </w:r>
      <w:r w:rsidRPr="161A3BA2">
        <w:rPr>
          <w:rFonts w:ascii="Arial" w:hAnsi="Arial" w:cs="Arial"/>
          <w:sz w:val="44"/>
          <w:szCs w:val="44"/>
        </w:rPr>
        <w:t xml:space="preserve"> Jan</w:t>
      </w:r>
      <w:r w:rsidR="4D3032FE" w:rsidRPr="161A3BA2">
        <w:rPr>
          <w:rFonts w:ascii="Arial" w:hAnsi="Arial" w:cs="Arial"/>
          <w:sz w:val="44"/>
          <w:szCs w:val="44"/>
        </w:rPr>
        <w:t xml:space="preserve"> – 3</w:t>
      </w:r>
      <w:r w:rsidR="7D62E34D" w:rsidRPr="161A3BA2">
        <w:rPr>
          <w:rFonts w:ascii="Arial" w:hAnsi="Arial" w:cs="Arial"/>
          <w:sz w:val="44"/>
          <w:szCs w:val="44"/>
        </w:rPr>
        <w:t>1</w:t>
      </w:r>
      <w:r w:rsidR="7D62E34D" w:rsidRPr="161A3BA2">
        <w:rPr>
          <w:rFonts w:ascii="Arial" w:hAnsi="Arial" w:cs="Arial"/>
          <w:sz w:val="44"/>
          <w:szCs w:val="44"/>
          <w:vertAlign w:val="superscript"/>
        </w:rPr>
        <w:t>st</w:t>
      </w:r>
      <w:r w:rsidR="7D62E34D" w:rsidRPr="161A3BA2">
        <w:rPr>
          <w:rFonts w:ascii="Arial" w:hAnsi="Arial" w:cs="Arial"/>
          <w:sz w:val="44"/>
          <w:szCs w:val="44"/>
        </w:rPr>
        <w:t xml:space="preserve"> </w:t>
      </w:r>
      <w:r w:rsidR="322A39CF" w:rsidRPr="161A3BA2">
        <w:rPr>
          <w:rFonts w:ascii="Arial" w:hAnsi="Arial" w:cs="Arial"/>
          <w:sz w:val="44"/>
          <w:szCs w:val="44"/>
        </w:rPr>
        <w:t xml:space="preserve">Mar </w:t>
      </w:r>
      <w:r w:rsidR="4D3032FE" w:rsidRPr="161A3BA2">
        <w:rPr>
          <w:rFonts w:ascii="Arial" w:hAnsi="Arial" w:cs="Arial"/>
          <w:sz w:val="44"/>
          <w:szCs w:val="44"/>
        </w:rPr>
        <w:t>202</w:t>
      </w:r>
      <w:r w:rsidR="03D56E44" w:rsidRPr="161A3BA2">
        <w:rPr>
          <w:rFonts w:ascii="Arial" w:hAnsi="Arial" w:cs="Arial"/>
          <w:sz w:val="44"/>
          <w:szCs w:val="44"/>
        </w:rPr>
        <w:t>5</w:t>
      </w:r>
    </w:p>
    <w:p w14:paraId="45FB0818" w14:textId="77777777" w:rsidR="008B7446" w:rsidRPr="009C2693" w:rsidRDefault="008B7446" w:rsidP="008B7446">
      <w:pPr>
        <w:rPr>
          <w:rFonts w:ascii="Arial" w:hAnsi="Arial" w:cs="Arial"/>
          <w:sz w:val="28"/>
          <w:szCs w:val="28"/>
        </w:rPr>
      </w:pPr>
    </w:p>
    <w:p w14:paraId="2635E364" w14:textId="77777777" w:rsidR="008B7446" w:rsidRPr="00621821" w:rsidRDefault="008B7446" w:rsidP="008B7446">
      <w:pPr>
        <w:shd w:val="clear" w:color="auto" w:fill="990033"/>
        <w:tabs>
          <w:tab w:val="left" w:pos="6420"/>
        </w:tabs>
        <w:rPr>
          <w:rFonts w:ascii="Arial" w:hAnsi="Arial" w:cs="Arial"/>
          <w:b/>
          <w:sz w:val="32"/>
          <w:szCs w:val="32"/>
        </w:rPr>
      </w:pPr>
      <w:r w:rsidRPr="00621821">
        <w:rPr>
          <w:rFonts w:ascii="Arial" w:hAnsi="Arial" w:cs="Arial"/>
          <w:b/>
          <w:sz w:val="32"/>
          <w:szCs w:val="32"/>
        </w:rPr>
        <w:t>Introduction</w:t>
      </w:r>
      <w:r w:rsidRPr="00621821">
        <w:rPr>
          <w:rFonts w:ascii="Arial" w:hAnsi="Arial" w:cs="Arial"/>
          <w:b/>
          <w:color w:val="FFFFFF"/>
          <w:sz w:val="32"/>
          <w:szCs w:val="32"/>
        </w:rPr>
        <w:t xml:space="preserve"> </w:t>
      </w:r>
      <w:r w:rsidRPr="00621821">
        <w:rPr>
          <w:rFonts w:ascii="Arial" w:hAnsi="Arial" w:cs="Arial"/>
          <w:b/>
          <w:color w:val="FFFFFF"/>
          <w:sz w:val="32"/>
          <w:szCs w:val="32"/>
        </w:rPr>
        <w:tab/>
      </w:r>
    </w:p>
    <w:p w14:paraId="049F31CB" w14:textId="77777777" w:rsidR="008B7446" w:rsidRPr="009C2693" w:rsidRDefault="008B7446" w:rsidP="008B7446">
      <w:pPr>
        <w:ind w:right="-1234"/>
        <w:rPr>
          <w:rFonts w:ascii="Arial" w:hAnsi="Arial" w:cs="Arial"/>
          <w:sz w:val="28"/>
          <w:szCs w:val="28"/>
        </w:rPr>
      </w:pPr>
    </w:p>
    <w:p w14:paraId="53128261" w14:textId="77777777" w:rsidR="008B7446" w:rsidRPr="009C2693" w:rsidRDefault="008B7446" w:rsidP="008B7446">
      <w:pPr>
        <w:rPr>
          <w:rFonts w:ascii="Arial" w:hAnsi="Arial" w:cs="Arial"/>
        </w:rPr>
      </w:pPr>
    </w:p>
    <w:p w14:paraId="074C3057" w14:textId="77777777" w:rsidR="008B7446" w:rsidRPr="009C2693" w:rsidRDefault="008B7446" w:rsidP="008B7446">
      <w:pPr>
        <w:tabs>
          <w:tab w:val="left" w:pos="357"/>
        </w:tabs>
        <w:jc w:val="both"/>
        <w:rPr>
          <w:rFonts w:ascii="Arial" w:hAnsi="Arial" w:cs="Arial"/>
          <w:szCs w:val="24"/>
        </w:rPr>
      </w:pPr>
      <w:r w:rsidRPr="009C2693">
        <w:rPr>
          <w:rFonts w:ascii="Arial" w:hAnsi="Arial" w:cs="Arial"/>
          <w:szCs w:val="24"/>
        </w:rPr>
        <w:t>Section 75 of the Northern Ireland Act 1998 requires the Trust, when carrying out its functions in relation to Northern Ireland, to have due regard to the need to promote equality of opportunity between nine categories of persons, namely:</w:t>
      </w:r>
    </w:p>
    <w:p w14:paraId="62486C05" w14:textId="77777777" w:rsidR="008B7446" w:rsidRPr="009C2693" w:rsidRDefault="008B7446" w:rsidP="008B7446">
      <w:pPr>
        <w:tabs>
          <w:tab w:val="left" w:pos="357"/>
        </w:tabs>
        <w:rPr>
          <w:rFonts w:ascii="Arial" w:hAnsi="Arial" w:cs="Arial"/>
          <w:szCs w:val="24"/>
        </w:rPr>
      </w:pPr>
    </w:p>
    <w:p w14:paraId="718944D9" w14:textId="77777777"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of different religious belief, political opinion, racial group, age, marital status or sexual orientation;</w:t>
      </w:r>
    </w:p>
    <w:p w14:paraId="605640EB" w14:textId="77777777"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men and women generally;</w:t>
      </w:r>
    </w:p>
    <w:p w14:paraId="0980EBB7" w14:textId="77777777" w:rsidR="008B7446" w:rsidRPr="009C2693" w:rsidRDefault="008B7446" w:rsidP="008B7446">
      <w:pPr>
        <w:numPr>
          <w:ilvl w:val="0"/>
          <w:numId w:val="3"/>
        </w:numPr>
        <w:tabs>
          <w:tab w:val="left" w:pos="357"/>
        </w:tabs>
        <w:rPr>
          <w:rFonts w:ascii="Arial" w:hAnsi="Arial" w:cs="Arial"/>
          <w:szCs w:val="24"/>
        </w:rPr>
      </w:pPr>
      <w:r w:rsidRPr="009C2693">
        <w:rPr>
          <w:rFonts w:ascii="Arial" w:hAnsi="Arial" w:cs="Arial"/>
          <w:szCs w:val="24"/>
        </w:rPr>
        <w:t>between persons with a disability and persons without; and</w:t>
      </w:r>
    </w:p>
    <w:p w14:paraId="3DA34C9D" w14:textId="77777777" w:rsidR="008B7446" w:rsidRPr="009C2693" w:rsidRDefault="008B7446" w:rsidP="008B7446">
      <w:pPr>
        <w:numPr>
          <w:ilvl w:val="0"/>
          <w:numId w:val="3"/>
        </w:numPr>
        <w:tabs>
          <w:tab w:val="left" w:pos="357"/>
        </w:tabs>
        <w:rPr>
          <w:rFonts w:ascii="Arial" w:hAnsi="Arial" w:cs="Arial"/>
          <w:szCs w:val="24"/>
        </w:rPr>
      </w:pPr>
      <w:proofErr w:type="gramStart"/>
      <w:r w:rsidRPr="009C2693">
        <w:rPr>
          <w:rFonts w:ascii="Arial" w:hAnsi="Arial" w:cs="Arial"/>
          <w:szCs w:val="24"/>
        </w:rPr>
        <w:t>between</w:t>
      </w:r>
      <w:proofErr w:type="gramEnd"/>
      <w:r w:rsidRPr="009C2693">
        <w:rPr>
          <w:rFonts w:ascii="Arial" w:hAnsi="Arial" w:cs="Arial"/>
          <w:szCs w:val="24"/>
        </w:rPr>
        <w:t xml:space="preserve"> persons with dependants and persons without.</w:t>
      </w:r>
    </w:p>
    <w:p w14:paraId="4101652C" w14:textId="77777777" w:rsidR="008B7446" w:rsidRPr="009C2693" w:rsidRDefault="008B7446" w:rsidP="008B7446">
      <w:pPr>
        <w:tabs>
          <w:tab w:val="left" w:pos="357"/>
        </w:tabs>
        <w:rPr>
          <w:rFonts w:ascii="Arial" w:hAnsi="Arial" w:cs="Arial"/>
          <w:szCs w:val="24"/>
        </w:rPr>
      </w:pPr>
    </w:p>
    <w:p w14:paraId="7F450D0A" w14:textId="77777777" w:rsidR="008B7446" w:rsidRPr="009C2693" w:rsidRDefault="008B7446" w:rsidP="008B7446">
      <w:pPr>
        <w:tabs>
          <w:tab w:val="left" w:pos="357"/>
        </w:tabs>
        <w:jc w:val="both"/>
        <w:rPr>
          <w:rFonts w:ascii="Arial" w:hAnsi="Arial" w:cs="Arial"/>
          <w:szCs w:val="24"/>
        </w:rPr>
      </w:pPr>
      <w:r w:rsidRPr="009C2693">
        <w:rPr>
          <w:rFonts w:ascii="Arial" w:hAnsi="Arial" w:cs="Arial"/>
          <w:szCs w:val="24"/>
        </w:rPr>
        <w:t>Without prejudice to its obligations above, the Trust must also have regard to the desirability of promoting good relations between persons of different religious belief, political opinion or racial group.</w:t>
      </w:r>
    </w:p>
    <w:p w14:paraId="4B99056E" w14:textId="77777777" w:rsidR="008B7446" w:rsidRPr="009C2693" w:rsidRDefault="008B7446" w:rsidP="008B7446">
      <w:pPr>
        <w:tabs>
          <w:tab w:val="left" w:pos="357"/>
        </w:tabs>
        <w:rPr>
          <w:rFonts w:ascii="Arial" w:hAnsi="Arial" w:cs="Arial"/>
          <w:szCs w:val="24"/>
        </w:rPr>
      </w:pPr>
    </w:p>
    <w:p w14:paraId="05C7CE5C" w14:textId="77777777" w:rsidR="008B7446" w:rsidRPr="009C2693" w:rsidRDefault="008B7446" w:rsidP="008B7446">
      <w:pPr>
        <w:tabs>
          <w:tab w:val="left" w:pos="357"/>
        </w:tabs>
        <w:jc w:val="both"/>
        <w:rPr>
          <w:rFonts w:ascii="Arial" w:hAnsi="Arial" w:cs="Arial"/>
          <w:szCs w:val="24"/>
        </w:rPr>
      </w:pPr>
      <w:r>
        <w:rPr>
          <w:rFonts w:ascii="Arial" w:hAnsi="Arial" w:cs="Arial"/>
          <w:szCs w:val="24"/>
        </w:rPr>
        <w:t xml:space="preserve">Belfast Trust’s Revised </w:t>
      </w:r>
      <w:r w:rsidRPr="009C2693">
        <w:rPr>
          <w:rFonts w:ascii="Arial" w:hAnsi="Arial" w:cs="Arial"/>
          <w:szCs w:val="24"/>
        </w:rPr>
        <w:t>Equality Scheme</w:t>
      </w:r>
      <w:r>
        <w:rPr>
          <w:rFonts w:ascii="Arial" w:hAnsi="Arial" w:cs="Arial"/>
          <w:szCs w:val="24"/>
        </w:rPr>
        <w:t xml:space="preserve"> was formally approved by the Equality Commission</w:t>
      </w:r>
      <w:r w:rsidRPr="009C2693">
        <w:rPr>
          <w:rFonts w:ascii="Arial" w:hAnsi="Arial" w:cs="Arial"/>
          <w:szCs w:val="24"/>
        </w:rPr>
        <w:t xml:space="preserve"> </w:t>
      </w:r>
      <w:r>
        <w:rPr>
          <w:rFonts w:ascii="Arial" w:hAnsi="Arial" w:cs="Arial"/>
          <w:szCs w:val="24"/>
        </w:rPr>
        <w:t xml:space="preserve">in September 2011. The revised Scheme </w:t>
      </w:r>
      <w:r w:rsidRPr="009C2693">
        <w:rPr>
          <w:rFonts w:ascii="Arial" w:hAnsi="Arial" w:cs="Arial"/>
          <w:szCs w:val="24"/>
        </w:rPr>
        <w:t>outlines how we propose to fulfil our statutory duties under Section 75.  Within the Scheme, the Trust gave a commitment to apply the screening methodology below to all new and revised policies and where necessary and appropriate to subject new policies to further equality impact assessment.</w:t>
      </w:r>
    </w:p>
    <w:p w14:paraId="1299C43A" w14:textId="77777777" w:rsidR="008B7446" w:rsidRPr="009C2693" w:rsidRDefault="008B7446" w:rsidP="008B7446">
      <w:pPr>
        <w:tabs>
          <w:tab w:val="left" w:pos="357"/>
        </w:tabs>
        <w:rPr>
          <w:rFonts w:ascii="Arial" w:hAnsi="Arial" w:cs="Arial"/>
          <w:szCs w:val="24"/>
        </w:rPr>
      </w:pPr>
    </w:p>
    <w:p w14:paraId="0E814ADA" w14:textId="77777777"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What is the likely impact of equality of opportunity for those affected by this policy/proposal, for each of the Section 75 equality categories?</w:t>
      </w:r>
    </w:p>
    <w:p w14:paraId="2EAD72FF" w14:textId="77777777"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equality of opportunity for people within Section 75 equality categories?</w:t>
      </w:r>
    </w:p>
    <w:p w14:paraId="05090D30" w14:textId="77777777" w:rsidR="008B7446" w:rsidRPr="009C2693" w:rsidRDefault="008B7446" w:rsidP="008B7446">
      <w:pPr>
        <w:numPr>
          <w:ilvl w:val="0"/>
          <w:numId w:val="2"/>
        </w:numPr>
        <w:tabs>
          <w:tab w:val="left" w:pos="357"/>
        </w:tabs>
        <w:rPr>
          <w:rFonts w:ascii="Arial" w:hAnsi="Arial" w:cs="Arial"/>
          <w:szCs w:val="24"/>
        </w:rPr>
      </w:pPr>
      <w:r>
        <w:rPr>
          <w:rFonts w:ascii="Arial" w:hAnsi="Arial" w:cs="Arial"/>
          <w:szCs w:val="24"/>
        </w:rPr>
        <w:t>To what extent is the policy/proposal likely to impact on good relations between people of different religious belief, political opinion or racial group</w:t>
      </w:r>
      <w:r w:rsidRPr="009C2693">
        <w:rPr>
          <w:rFonts w:ascii="Arial" w:hAnsi="Arial" w:cs="Arial"/>
          <w:szCs w:val="24"/>
        </w:rPr>
        <w:t>?</w:t>
      </w:r>
    </w:p>
    <w:p w14:paraId="43D1B249" w14:textId="77777777" w:rsidR="008B7446" w:rsidRDefault="008B7446" w:rsidP="008B7446">
      <w:pPr>
        <w:numPr>
          <w:ilvl w:val="0"/>
          <w:numId w:val="2"/>
        </w:numPr>
        <w:tabs>
          <w:tab w:val="left" w:pos="357"/>
        </w:tabs>
        <w:rPr>
          <w:rFonts w:ascii="Arial" w:hAnsi="Arial" w:cs="Arial"/>
          <w:szCs w:val="24"/>
        </w:rPr>
      </w:pPr>
      <w:r>
        <w:rPr>
          <w:rFonts w:ascii="Arial" w:hAnsi="Arial" w:cs="Arial"/>
          <w:szCs w:val="24"/>
        </w:rPr>
        <w:t>Are there opportunities to better promote good relations between people of different religious belief, political opinion or racial group</w:t>
      </w:r>
      <w:r w:rsidRPr="009C2693">
        <w:rPr>
          <w:rFonts w:ascii="Arial" w:hAnsi="Arial" w:cs="Arial"/>
          <w:szCs w:val="24"/>
        </w:rPr>
        <w:t>?</w:t>
      </w:r>
    </w:p>
    <w:p w14:paraId="4DDBEF00" w14:textId="77777777" w:rsidR="008B7446" w:rsidRPr="009C2693" w:rsidRDefault="008B7446" w:rsidP="008B7446">
      <w:pPr>
        <w:tabs>
          <w:tab w:val="left" w:pos="357"/>
        </w:tabs>
        <w:ind w:left="720"/>
        <w:rPr>
          <w:rFonts w:ascii="Arial" w:hAnsi="Arial" w:cs="Arial"/>
          <w:szCs w:val="24"/>
        </w:rPr>
      </w:pPr>
    </w:p>
    <w:p w14:paraId="1337FFF6" w14:textId="77777777" w:rsidR="008B7446" w:rsidRDefault="008B7446" w:rsidP="008B7446">
      <w:pPr>
        <w:tabs>
          <w:tab w:val="left" w:pos="357"/>
        </w:tabs>
        <w:rPr>
          <w:rFonts w:ascii="Arial" w:hAnsi="Arial" w:cs="Arial"/>
          <w:lang w:val="en-US"/>
        </w:rPr>
      </w:pPr>
      <w:r w:rsidRPr="009C2693">
        <w:rPr>
          <w:rFonts w:ascii="Arial" w:hAnsi="Arial" w:cs="Arial"/>
          <w:bCs/>
          <w:szCs w:val="24"/>
        </w:rPr>
        <w:t xml:space="preserve">In keeping with the Trust’s commitments in its Equality Scheme the Trust has </w:t>
      </w:r>
      <w:r w:rsidRPr="009C2693">
        <w:rPr>
          <w:rFonts w:ascii="Arial" w:hAnsi="Arial" w:cs="Arial"/>
          <w:szCs w:val="24"/>
        </w:rPr>
        <w:t>applied the above screening criteria to</w:t>
      </w:r>
      <w:r>
        <w:rPr>
          <w:rFonts w:ascii="Arial" w:hAnsi="Arial" w:cs="Arial"/>
          <w:szCs w:val="24"/>
        </w:rPr>
        <w:t xml:space="preserve"> new policies and proposals.  </w:t>
      </w:r>
      <w:r w:rsidRPr="007F2FF4">
        <w:rPr>
          <w:rFonts w:ascii="Arial" w:hAnsi="Arial" w:cs="Arial"/>
        </w:rPr>
        <w:t xml:space="preserve">Screening identifies policies that are likely to have an impact on equality of opportunity and or good relations. </w:t>
      </w:r>
      <w:r w:rsidRPr="007F2FF4">
        <w:rPr>
          <w:rFonts w:ascii="Arial" w:hAnsi="Arial" w:cs="Arial"/>
          <w:lang w:val="en-US"/>
        </w:rPr>
        <w:t xml:space="preserve"> </w:t>
      </w:r>
    </w:p>
    <w:p w14:paraId="3461D779" w14:textId="77777777" w:rsidR="008B7446" w:rsidRPr="007F2FF4" w:rsidRDefault="008B7446" w:rsidP="008B7446">
      <w:pPr>
        <w:tabs>
          <w:tab w:val="left" w:pos="357"/>
        </w:tabs>
        <w:rPr>
          <w:rFonts w:ascii="Arial" w:hAnsi="Arial" w:cs="Arial"/>
        </w:rPr>
      </w:pPr>
    </w:p>
    <w:p w14:paraId="00243995" w14:textId="77777777" w:rsidR="008B7446" w:rsidRPr="007F2FF4" w:rsidRDefault="008B7446" w:rsidP="008B7446">
      <w:pPr>
        <w:tabs>
          <w:tab w:val="left" w:pos="357"/>
        </w:tabs>
        <w:rPr>
          <w:rFonts w:ascii="Arial" w:hAnsi="Arial" w:cs="Arial"/>
          <w:szCs w:val="24"/>
        </w:rPr>
      </w:pPr>
      <w:r w:rsidRPr="007F2FF4">
        <w:rPr>
          <w:rFonts w:ascii="Arial" w:hAnsi="Arial" w:cs="Arial"/>
          <w:szCs w:val="24"/>
          <w:lang w:val="en-US"/>
        </w:rPr>
        <w:t>Screening identifies the impact of the policy/proposal as major, minor or none.</w:t>
      </w:r>
    </w:p>
    <w:p w14:paraId="6E74AACA"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major – an E</w:t>
      </w:r>
      <w:r>
        <w:rPr>
          <w:rFonts w:ascii="Arial" w:hAnsi="Arial" w:cs="Arial"/>
          <w:szCs w:val="24"/>
          <w:lang w:val="en-US"/>
        </w:rPr>
        <w:t>quality Impact Assessment</w:t>
      </w:r>
      <w:r w:rsidRPr="007F2FF4">
        <w:rPr>
          <w:rFonts w:ascii="Arial" w:hAnsi="Arial" w:cs="Arial"/>
          <w:szCs w:val="24"/>
          <w:lang w:val="en-US"/>
        </w:rPr>
        <w:t xml:space="preserve"> may be carried out.</w:t>
      </w:r>
    </w:p>
    <w:p w14:paraId="16286B71"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minor – consider mitigation or alternative policy and screen out.</w:t>
      </w:r>
    </w:p>
    <w:p w14:paraId="6E3A1956"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If none – screen out and give reasons.</w:t>
      </w:r>
    </w:p>
    <w:p w14:paraId="7B46F5D5" w14:textId="77777777" w:rsidR="008B7446" w:rsidRPr="007F2FF4" w:rsidRDefault="008B7446" w:rsidP="008B7446">
      <w:pPr>
        <w:numPr>
          <w:ilvl w:val="0"/>
          <w:numId w:val="1"/>
        </w:numPr>
        <w:tabs>
          <w:tab w:val="left" w:pos="357"/>
        </w:tabs>
        <w:rPr>
          <w:rFonts w:ascii="Arial" w:hAnsi="Arial" w:cs="Arial"/>
          <w:szCs w:val="24"/>
        </w:rPr>
      </w:pPr>
      <w:r w:rsidRPr="007F2FF4">
        <w:rPr>
          <w:rFonts w:ascii="Arial" w:hAnsi="Arial" w:cs="Arial"/>
          <w:szCs w:val="24"/>
          <w:lang w:val="en-US"/>
        </w:rPr>
        <w:t xml:space="preserve">Ongoing screening – for strategies/policies that are to be put in place through a series of stages – screen at various stages during implementation. </w:t>
      </w:r>
    </w:p>
    <w:p w14:paraId="3CF2D8B6" w14:textId="77777777" w:rsidR="008B7446" w:rsidRDefault="008B7446" w:rsidP="008B7446">
      <w:pPr>
        <w:tabs>
          <w:tab w:val="left" w:pos="357"/>
        </w:tabs>
        <w:rPr>
          <w:rFonts w:ascii="Arial" w:hAnsi="Arial" w:cs="Arial"/>
          <w:szCs w:val="24"/>
        </w:rPr>
      </w:pPr>
    </w:p>
    <w:p w14:paraId="0FB78278" w14:textId="77777777" w:rsidR="008B7446" w:rsidRDefault="008B7446" w:rsidP="008B7446">
      <w:pPr>
        <w:tabs>
          <w:tab w:val="left" w:pos="357"/>
        </w:tabs>
        <w:rPr>
          <w:rFonts w:ascii="Arial" w:hAnsi="Arial" w:cs="Arial"/>
          <w:szCs w:val="24"/>
        </w:rPr>
      </w:pPr>
    </w:p>
    <w:p w14:paraId="1FC39945" w14:textId="77777777" w:rsidR="008B7446" w:rsidRDefault="008B7446" w:rsidP="008B7446">
      <w:pPr>
        <w:tabs>
          <w:tab w:val="left" w:pos="357"/>
        </w:tabs>
        <w:rPr>
          <w:rFonts w:ascii="Arial" w:hAnsi="Arial" w:cs="Arial"/>
          <w:szCs w:val="24"/>
        </w:rPr>
      </w:pPr>
    </w:p>
    <w:p w14:paraId="193B12E2" w14:textId="77777777" w:rsidR="008B7446" w:rsidRDefault="008B7446" w:rsidP="008B7446">
      <w:pPr>
        <w:tabs>
          <w:tab w:val="left" w:pos="3285"/>
        </w:tabs>
        <w:rPr>
          <w:rFonts w:ascii="Arial" w:hAnsi="Arial" w:cs="Arial"/>
          <w:szCs w:val="24"/>
        </w:rPr>
      </w:pPr>
      <w:r>
        <w:rPr>
          <w:rFonts w:ascii="Arial" w:hAnsi="Arial" w:cs="Arial"/>
          <w:szCs w:val="24"/>
        </w:rPr>
        <w:lastRenderedPageBreak/>
        <w:t>Figure 1 provides a flowchart of how screening is conducted in Belfast Trust.</w:t>
      </w:r>
    </w:p>
    <w:p w14:paraId="0562CB0E" w14:textId="77777777" w:rsidR="008B7446" w:rsidRPr="009C2693" w:rsidRDefault="008B7446" w:rsidP="4597C24C">
      <w:pPr>
        <w:tabs>
          <w:tab w:val="left" w:pos="357"/>
        </w:tabs>
        <w:rPr>
          <w:rFonts w:ascii="Arial" w:hAnsi="Arial" w:cs="Arial"/>
        </w:rPr>
      </w:pPr>
      <w:r w:rsidRPr="0072489D">
        <w:rPr>
          <w:rFonts w:ascii="Arial" w:hAnsi="Arial" w:cs="Arial"/>
          <w:noProof/>
          <w:szCs w:val="24"/>
        </w:rPr>
        <w:drawing>
          <wp:inline distT="0" distB="0" distL="0" distR="0" wp14:anchorId="18F5CF88" wp14:editId="29274CE7">
            <wp:extent cx="5629274" cy="83153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29274" cy="8315325"/>
                    </a:xfrm>
                    <a:prstGeom prst="rect">
                      <a:avLst/>
                    </a:prstGeom>
                    <a:noFill/>
                    <a:ln>
                      <a:noFill/>
                    </a:ln>
                  </pic:spPr>
                </pic:pic>
              </a:graphicData>
            </a:graphic>
          </wp:inline>
        </w:drawing>
      </w:r>
    </w:p>
    <w:p w14:paraId="34CE0A41" w14:textId="77777777" w:rsidR="008B7446" w:rsidRDefault="008B7446" w:rsidP="008B7446">
      <w:pPr>
        <w:tabs>
          <w:tab w:val="left" w:pos="357"/>
        </w:tabs>
        <w:rPr>
          <w:rFonts w:ascii="Arial" w:hAnsi="Arial" w:cs="Arial"/>
          <w:szCs w:val="24"/>
          <w:lang w:val="en-US"/>
        </w:rPr>
      </w:pPr>
    </w:p>
    <w:p w14:paraId="366E8CA0" w14:textId="77777777" w:rsidR="008B7446" w:rsidRDefault="008B7446" w:rsidP="008B7446">
      <w:pPr>
        <w:tabs>
          <w:tab w:val="left" w:pos="357"/>
        </w:tabs>
        <w:rPr>
          <w:rFonts w:ascii="Arial" w:hAnsi="Arial" w:cs="Arial"/>
          <w:szCs w:val="24"/>
          <w:lang w:val="en-US"/>
        </w:rPr>
      </w:pPr>
      <w:r>
        <w:rPr>
          <w:rFonts w:ascii="Arial" w:hAnsi="Arial" w:cs="Arial"/>
          <w:szCs w:val="24"/>
          <w:lang w:val="en-US"/>
        </w:rPr>
        <w:lastRenderedPageBreak/>
        <w:t xml:space="preserve">Belfast Trust also committed within its Revised Equality Scheme to prepare and publish for information regular reports on its screening exercises. Belfast HSC Trust has provided detail on all screenings undertaken since 1 September 2011 when the Trust received Equality Commission approval for their revised Equality Scheme. To further promote openness and transparency, there is a link to each completed screening template on the Belfast Trust’s website. </w:t>
      </w:r>
      <w:hyperlink r:id="rId18" w:history="1">
        <w:r w:rsidRPr="00127F4E">
          <w:rPr>
            <w:rStyle w:val="Hyperlink"/>
            <w:rFonts w:ascii="Arial" w:hAnsi="Arial" w:cs="Arial"/>
            <w:szCs w:val="24"/>
            <w:lang w:val="en-US"/>
          </w:rPr>
          <w:t>www.belfasttrust.hscni.net</w:t>
        </w:r>
      </w:hyperlink>
      <w:r>
        <w:rPr>
          <w:rFonts w:ascii="Arial" w:hAnsi="Arial" w:cs="Arial"/>
          <w:szCs w:val="24"/>
          <w:lang w:val="en-US"/>
        </w:rPr>
        <w:t xml:space="preserve">. </w:t>
      </w:r>
    </w:p>
    <w:p w14:paraId="62EBF3C5" w14:textId="77777777" w:rsidR="008B7446" w:rsidRDefault="008B7446" w:rsidP="008B7446">
      <w:pPr>
        <w:tabs>
          <w:tab w:val="left" w:pos="357"/>
        </w:tabs>
        <w:rPr>
          <w:rFonts w:ascii="Arial" w:hAnsi="Arial" w:cs="Arial"/>
          <w:szCs w:val="24"/>
          <w:lang w:val="en-US"/>
        </w:rPr>
      </w:pPr>
    </w:p>
    <w:p w14:paraId="4E04C580" w14:textId="77777777" w:rsidR="008B7446" w:rsidRDefault="008B7446" w:rsidP="008B7446">
      <w:pPr>
        <w:tabs>
          <w:tab w:val="left" w:pos="357"/>
        </w:tabs>
        <w:rPr>
          <w:rFonts w:ascii="Arial" w:hAnsi="Arial" w:cs="Arial"/>
          <w:bCs/>
          <w:szCs w:val="24"/>
        </w:rPr>
      </w:pPr>
      <w:r>
        <w:rPr>
          <w:rFonts w:ascii="Arial" w:hAnsi="Arial" w:cs="Arial"/>
          <w:szCs w:val="24"/>
          <w:lang w:val="en-US"/>
        </w:rPr>
        <w:t>The quarterly screening report shall detail all policies screened over a three month period and includes decisions reached.</w:t>
      </w:r>
    </w:p>
    <w:p w14:paraId="6D98A12B" w14:textId="77777777" w:rsidR="008B7446" w:rsidRDefault="008B7446" w:rsidP="008B7446">
      <w:pPr>
        <w:tabs>
          <w:tab w:val="left" w:pos="357"/>
        </w:tabs>
        <w:rPr>
          <w:rFonts w:ascii="Arial" w:hAnsi="Arial" w:cs="Arial"/>
          <w:bCs/>
          <w:szCs w:val="24"/>
        </w:rPr>
      </w:pPr>
    </w:p>
    <w:p w14:paraId="1565A4E8" w14:textId="5E7CE40D" w:rsidR="008B7446" w:rsidRDefault="008B7446" w:rsidP="261FFAD5">
      <w:pPr>
        <w:tabs>
          <w:tab w:val="left" w:pos="357"/>
        </w:tabs>
        <w:rPr>
          <w:rFonts w:ascii="Arial" w:hAnsi="Arial" w:cs="Arial"/>
        </w:rPr>
      </w:pPr>
      <w:r w:rsidRPr="6B10E794">
        <w:rPr>
          <w:rFonts w:ascii="Arial" w:hAnsi="Arial" w:cs="Arial"/>
        </w:rPr>
        <w:t xml:space="preserve">This screening report outlines the screening outcomes from </w:t>
      </w:r>
      <w:r w:rsidR="64BACE6D" w:rsidRPr="6B10E794">
        <w:rPr>
          <w:rFonts w:ascii="Arial" w:hAnsi="Arial" w:cs="Arial"/>
        </w:rPr>
        <w:t>1</w:t>
      </w:r>
      <w:r w:rsidR="64BACE6D" w:rsidRPr="6B10E794">
        <w:rPr>
          <w:rFonts w:ascii="Arial" w:hAnsi="Arial" w:cs="Arial"/>
          <w:vertAlign w:val="superscript"/>
        </w:rPr>
        <w:t>st</w:t>
      </w:r>
      <w:r w:rsidR="64BACE6D" w:rsidRPr="6B10E794">
        <w:rPr>
          <w:rFonts w:ascii="Arial" w:hAnsi="Arial" w:cs="Arial"/>
        </w:rPr>
        <w:t xml:space="preserve"> </w:t>
      </w:r>
      <w:r w:rsidR="770C4D32" w:rsidRPr="6B10E794">
        <w:rPr>
          <w:rFonts w:ascii="Arial" w:hAnsi="Arial" w:cs="Arial"/>
        </w:rPr>
        <w:t>Oct</w:t>
      </w:r>
      <w:r w:rsidR="00D500D9" w:rsidRPr="6B10E794">
        <w:rPr>
          <w:rFonts w:ascii="Arial" w:hAnsi="Arial" w:cs="Arial"/>
        </w:rPr>
        <w:t xml:space="preserve"> </w:t>
      </w:r>
      <w:r w:rsidR="00086820" w:rsidRPr="6B10E794">
        <w:rPr>
          <w:rFonts w:ascii="Arial" w:hAnsi="Arial" w:cs="Arial"/>
        </w:rPr>
        <w:t>–</w:t>
      </w:r>
      <w:r w:rsidR="6337C812" w:rsidRPr="6B10E794">
        <w:rPr>
          <w:rFonts w:ascii="Arial" w:hAnsi="Arial" w:cs="Arial"/>
        </w:rPr>
        <w:t xml:space="preserve"> 3</w:t>
      </w:r>
      <w:r w:rsidR="7EC59A79" w:rsidRPr="6B10E794">
        <w:rPr>
          <w:rFonts w:ascii="Arial" w:hAnsi="Arial" w:cs="Arial"/>
        </w:rPr>
        <w:t>1</w:t>
      </w:r>
      <w:r w:rsidR="1B9D1256" w:rsidRPr="6B10E794">
        <w:rPr>
          <w:rFonts w:ascii="Arial" w:hAnsi="Arial" w:cs="Arial"/>
          <w:vertAlign w:val="superscript"/>
        </w:rPr>
        <w:t>st</w:t>
      </w:r>
      <w:r w:rsidR="1B9D1256" w:rsidRPr="6B10E794">
        <w:rPr>
          <w:rFonts w:ascii="Arial" w:hAnsi="Arial" w:cs="Arial"/>
        </w:rPr>
        <w:t xml:space="preserve"> </w:t>
      </w:r>
      <w:r w:rsidR="6475777D" w:rsidRPr="6B10E794">
        <w:rPr>
          <w:rFonts w:ascii="Arial" w:hAnsi="Arial" w:cs="Arial"/>
        </w:rPr>
        <w:t>Dec</w:t>
      </w:r>
      <w:r w:rsidR="00086820" w:rsidRPr="6B10E794">
        <w:rPr>
          <w:rFonts w:ascii="Arial" w:hAnsi="Arial" w:cs="Arial"/>
        </w:rPr>
        <w:t xml:space="preserve"> </w:t>
      </w:r>
      <w:r w:rsidR="00D500D9" w:rsidRPr="6B10E794">
        <w:rPr>
          <w:rFonts w:ascii="Arial" w:hAnsi="Arial" w:cs="Arial"/>
        </w:rPr>
        <w:t>2023.</w:t>
      </w:r>
    </w:p>
    <w:p w14:paraId="2946DB82" w14:textId="77777777" w:rsidR="008B7446" w:rsidRDefault="008B7446" w:rsidP="008B7446">
      <w:pPr>
        <w:tabs>
          <w:tab w:val="left" w:pos="357"/>
        </w:tabs>
        <w:rPr>
          <w:rFonts w:ascii="Arial" w:hAnsi="Arial" w:cs="Arial"/>
          <w:bCs/>
          <w:szCs w:val="24"/>
        </w:rPr>
      </w:pPr>
    </w:p>
    <w:p w14:paraId="5997CC1D" w14:textId="77777777" w:rsidR="008B7446" w:rsidRPr="009C2693" w:rsidRDefault="008B7446" w:rsidP="008B7446">
      <w:pPr>
        <w:tabs>
          <w:tab w:val="left" w:pos="357"/>
        </w:tabs>
        <w:rPr>
          <w:rFonts w:ascii="Arial" w:hAnsi="Arial" w:cs="Arial"/>
          <w:szCs w:val="24"/>
        </w:rPr>
      </w:pPr>
      <w:r>
        <w:rPr>
          <w:rFonts w:ascii="Arial" w:hAnsi="Arial" w:cs="Arial"/>
          <w:bCs/>
          <w:szCs w:val="24"/>
        </w:rPr>
        <w:br w:type="page"/>
      </w:r>
    </w:p>
    <w:p w14:paraId="0C3D03CC" w14:textId="77777777"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lastRenderedPageBreak/>
        <w:t xml:space="preserve">Communication and </w:t>
      </w:r>
      <w:r>
        <w:rPr>
          <w:rFonts w:ascii="Arial" w:hAnsi="Arial" w:cs="Arial"/>
          <w:b/>
          <w:color w:val="FFFFFF"/>
          <w:sz w:val="32"/>
          <w:szCs w:val="32"/>
        </w:rPr>
        <w:t>E</w:t>
      </w:r>
      <w:r w:rsidRPr="009C2693">
        <w:rPr>
          <w:rFonts w:ascii="Arial" w:hAnsi="Arial" w:cs="Arial"/>
          <w:b/>
          <w:color w:val="FFFFFF"/>
          <w:sz w:val="32"/>
          <w:szCs w:val="32"/>
        </w:rPr>
        <w:t xml:space="preserve">ngagement </w:t>
      </w:r>
    </w:p>
    <w:p w14:paraId="110FFD37" w14:textId="77777777" w:rsidR="008B7446" w:rsidRPr="009C2693" w:rsidRDefault="008B7446" w:rsidP="008B7446">
      <w:pPr>
        <w:rPr>
          <w:rFonts w:ascii="Arial" w:hAnsi="Arial" w:cs="Arial"/>
        </w:rPr>
      </w:pPr>
    </w:p>
    <w:p w14:paraId="6B699379" w14:textId="77777777" w:rsidR="008B7446" w:rsidRPr="009C2693" w:rsidRDefault="008B7446" w:rsidP="008B7446">
      <w:pPr>
        <w:jc w:val="both"/>
        <w:rPr>
          <w:rFonts w:ascii="Arial" w:hAnsi="Arial" w:cs="Arial"/>
        </w:rPr>
      </w:pPr>
    </w:p>
    <w:p w14:paraId="213E5D88" w14:textId="77777777" w:rsidR="008B7446" w:rsidRPr="00B15677" w:rsidRDefault="008B7446" w:rsidP="008B7446">
      <w:pPr>
        <w:autoSpaceDE w:val="0"/>
        <w:autoSpaceDN w:val="0"/>
        <w:adjustRightInd w:val="0"/>
        <w:jc w:val="both"/>
        <w:rPr>
          <w:rFonts w:ascii="Arial" w:hAnsi="Arial" w:cs="Arial"/>
        </w:rPr>
      </w:pPr>
      <w:r>
        <w:rPr>
          <w:rFonts w:ascii="Arial" w:hAnsi="Arial" w:cs="Arial"/>
        </w:rPr>
        <w:t>Belfast Trust recognises the importance of stakeholder involvement – one of the</w:t>
      </w:r>
      <w:r w:rsidRPr="002B1D78">
        <w:rPr>
          <w:sz w:val="28"/>
          <w:szCs w:val="28"/>
        </w:rPr>
        <w:t xml:space="preserve"> </w:t>
      </w:r>
      <w:r w:rsidRPr="002B1D78">
        <w:rPr>
          <w:rFonts w:ascii="Arial" w:hAnsi="Arial" w:cs="Arial"/>
          <w:szCs w:val="24"/>
        </w:rPr>
        <w:t>5 key strategic objectives that Belfast Trust devised at the outset was that of Partnership – we are committed to improving health and well-being through existing and new partnerships with a range of individuals, representative groups and voluntary and community organisations. The Trust is committed to providing people led services, drawing on the years of experience and listening to the needs and feedback that meaningful consultation can yield</w:t>
      </w:r>
      <w:r>
        <w:rPr>
          <w:rFonts w:ascii="Arial" w:hAnsi="Arial" w:cs="Arial"/>
        </w:rPr>
        <w:t>.</w:t>
      </w:r>
      <w:r w:rsidRPr="002B1D78">
        <w:rPr>
          <w:rFonts w:ascii="Arial" w:hAnsi="Arial" w:cs="Arial"/>
        </w:rPr>
        <w:t xml:space="preserve"> </w:t>
      </w:r>
      <w:r>
        <w:rPr>
          <w:rFonts w:ascii="Arial" w:hAnsi="Arial" w:cs="Arial"/>
        </w:rPr>
        <w:t xml:space="preserve"> T</w:t>
      </w:r>
      <w:r w:rsidRPr="00B15677">
        <w:rPr>
          <w:rFonts w:ascii="Arial" w:hAnsi="Arial" w:cs="Arial"/>
        </w:rPr>
        <w:t xml:space="preserve">here is a need to continue to effectively engage and work collaboratively with a wide range of stakeholders including Trust staff, Trade Unions, service users, carers, commissioners, primary care, public representatives and independent providers. </w:t>
      </w:r>
    </w:p>
    <w:p w14:paraId="3FE9F23F" w14:textId="77777777" w:rsidR="008B7446" w:rsidRPr="00B15677" w:rsidRDefault="008B7446" w:rsidP="008B7446">
      <w:pPr>
        <w:autoSpaceDE w:val="0"/>
        <w:autoSpaceDN w:val="0"/>
        <w:adjustRightInd w:val="0"/>
        <w:jc w:val="both"/>
        <w:rPr>
          <w:rFonts w:ascii="Arial" w:hAnsi="Arial" w:cs="Arial"/>
        </w:rPr>
      </w:pPr>
    </w:p>
    <w:p w14:paraId="47D46088" w14:textId="70756647" w:rsidR="008B7446" w:rsidRPr="00B15677" w:rsidRDefault="008B7446" w:rsidP="6B10E794">
      <w:pPr>
        <w:jc w:val="both"/>
        <w:rPr>
          <w:rFonts w:ascii="Arial" w:hAnsi="Arial" w:cs="Arial"/>
        </w:rPr>
      </w:pPr>
      <w:r w:rsidRPr="6B10E794">
        <w:rPr>
          <w:rFonts w:ascii="Arial" w:hAnsi="Arial" w:cs="Arial"/>
        </w:rPr>
        <w:t xml:space="preserve">The Trust is committed to promoting personal and public involvement in all its activities.  The development of new policies and proposals will be supported by effective engagement processes to ensure that staff, service users and all interested parties are fully involved.  Planning for, and delivering safe, clinically effective and </w:t>
      </w:r>
      <w:r w:rsidR="4DCB292C" w:rsidRPr="6B10E794">
        <w:rPr>
          <w:rFonts w:ascii="Arial" w:hAnsi="Arial" w:cs="Arial"/>
        </w:rPr>
        <w:t>cost-effective</w:t>
      </w:r>
      <w:r w:rsidRPr="6B10E794">
        <w:rPr>
          <w:rFonts w:ascii="Arial" w:hAnsi="Arial" w:cs="Arial"/>
        </w:rPr>
        <w:t xml:space="preserve"> services requires close collaboration at many levels.</w:t>
      </w:r>
    </w:p>
    <w:p w14:paraId="1F72F646" w14:textId="77777777" w:rsidR="008B7446" w:rsidRPr="00B15677" w:rsidRDefault="008B7446" w:rsidP="008B7446">
      <w:pPr>
        <w:autoSpaceDE w:val="0"/>
        <w:autoSpaceDN w:val="0"/>
        <w:adjustRightInd w:val="0"/>
        <w:jc w:val="both"/>
        <w:rPr>
          <w:rFonts w:ascii="Arial" w:hAnsi="Arial" w:cs="Arial"/>
          <w:szCs w:val="24"/>
        </w:rPr>
      </w:pPr>
    </w:p>
    <w:p w14:paraId="34F559CF" w14:textId="77777777" w:rsidR="008B7446" w:rsidRDefault="008B7446" w:rsidP="008B7446">
      <w:pPr>
        <w:tabs>
          <w:tab w:val="left" w:pos="357"/>
        </w:tabs>
        <w:jc w:val="both"/>
        <w:rPr>
          <w:rFonts w:ascii="Arial" w:hAnsi="Arial" w:cs="Arial"/>
          <w:szCs w:val="24"/>
        </w:rPr>
      </w:pPr>
      <w:r w:rsidRPr="009C2693">
        <w:rPr>
          <w:rFonts w:ascii="Arial" w:hAnsi="Arial" w:cs="Arial"/>
          <w:szCs w:val="24"/>
        </w:rPr>
        <w:t>If you have any queries about this document, and its availability in alternative formats (including Braille, disk and audio cassette, and in minority languages to meet the needs of those who are not fluent in English) then please contact:</w:t>
      </w:r>
    </w:p>
    <w:p w14:paraId="08CE6F91" w14:textId="77777777" w:rsidR="008B7446" w:rsidRPr="009C2693" w:rsidRDefault="008B7446" w:rsidP="008B7446">
      <w:pPr>
        <w:tabs>
          <w:tab w:val="left" w:pos="357"/>
        </w:tabs>
        <w:rPr>
          <w:rFonts w:ascii="Arial" w:hAnsi="Arial" w:cs="Arial"/>
          <w:szCs w:val="24"/>
        </w:rPr>
      </w:pPr>
    </w:p>
    <w:p w14:paraId="61CDCEAD" w14:textId="77777777" w:rsidR="008B7446" w:rsidRPr="009C2693" w:rsidRDefault="008B7446" w:rsidP="008B7446">
      <w:pPr>
        <w:tabs>
          <w:tab w:val="left" w:pos="357"/>
        </w:tabs>
        <w:rPr>
          <w:rFonts w:ascii="Arial" w:hAnsi="Arial" w:cs="Arial"/>
          <w:szCs w:val="24"/>
        </w:rPr>
      </w:pPr>
    </w:p>
    <w:p w14:paraId="0C791048"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Orla Barron</w:t>
      </w:r>
    </w:p>
    <w:p w14:paraId="2600ED53"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Equality Lead</w:t>
      </w:r>
    </w:p>
    <w:p w14:paraId="7ACA426C"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Belfast Health and Social Care Trust</w:t>
      </w:r>
    </w:p>
    <w:p w14:paraId="021670CA"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First Floor, Administration Building</w:t>
      </w:r>
    </w:p>
    <w:p w14:paraId="1AE4A8FC" w14:textId="77777777"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Knockbracken</w:t>
      </w:r>
      <w:proofErr w:type="spellEnd"/>
      <w:r>
        <w:rPr>
          <w:rFonts w:ascii="Arial" w:hAnsi="Arial" w:cs="Arial"/>
          <w:szCs w:val="24"/>
        </w:rPr>
        <w:t xml:space="preserve"> Healthcare Park</w:t>
      </w:r>
    </w:p>
    <w:p w14:paraId="5B4B92E1"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Saintfield Road</w:t>
      </w:r>
    </w:p>
    <w:p w14:paraId="59184FD3"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Belfast </w:t>
      </w:r>
    </w:p>
    <w:p w14:paraId="31B12187"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BT8 8BH</w:t>
      </w:r>
    </w:p>
    <w:p w14:paraId="6BB9E253" w14:textId="77777777" w:rsidR="008B7446" w:rsidRDefault="008B7446" w:rsidP="008B7446">
      <w:pPr>
        <w:shd w:val="clear" w:color="auto" w:fill="FFFFFF"/>
        <w:tabs>
          <w:tab w:val="left" w:pos="357"/>
        </w:tabs>
        <w:rPr>
          <w:rFonts w:ascii="Arial" w:hAnsi="Arial" w:cs="Arial"/>
          <w:szCs w:val="24"/>
        </w:rPr>
      </w:pPr>
    </w:p>
    <w:p w14:paraId="6D00B131"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Telephone: 028 95046567</w:t>
      </w:r>
    </w:p>
    <w:p w14:paraId="3347B780" w14:textId="77777777" w:rsidR="008B7446" w:rsidRDefault="008B7446" w:rsidP="008B7446">
      <w:pPr>
        <w:shd w:val="clear" w:color="auto" w:fill="FFFFFF"/>
        <w:tabs>
          <w:tab w:val="left" w:pos="357"/>
        </w:tabs>
        <w:rPr>
          <w:rFonts w:ascii="Arial" w:hAnsi="Arial" w:cs="Arial"/>
          <w:szCs w:val="24"/>
        </w:rPr>
      </w:pPr>
      <w:proofErr w:type="spellStart"/>
      <w:r>
        <w:rPr>
          <w:rFonts w:ascii="Arial" w:hAnsi="Arial" w:cs="Arial"/>
          <w:szCs w:val="24"/>
        </w:rPr>
        <w:t>Textphone</w:t>
      </w:r>
      <w:proofErr w:type="spellEnd"/>
      <w:r>
        <w:rPr>
          <w:rFonts w:ascii="Arial" w:hAnsi="Arial" w:cs="Arial"/>
          <w:szCs w:val="24"/>
        </w:rPr>
        <w:t>: 028 90637406</w:t>
      </w:r>
    </w:p>
    <w:p w14:paraId="54379094" w14:textId="77777777" w:rsidR="008B7446" w:rsidRDefault="0041768D" w:rsidP="008B7446">
      <w:pPr>
        <w:shd w:val="clear" w:color="auto" w:fill="FFFFFF"/>
        <w:tabs>
          <w:tab w:val="left" w:pos="357"/>
        </w:tabs>
        <w:rPr>
          <w:rFonts w:ascii="Arial" w:hAnsi="Arial" w:cs="Arial"/>
          <w:szCs w:val="24"/>
        </w:rPr>
      </w:pPr>
      <w:hyperlink r:id="rId19" w:history="1">
        <w:r w:rsidR="008B7446" w:rsidRPr="00CB2084">
          <w:rPr>
            <w:rStyle w:val="Hyperlink"/>
            <w:rFonts w:ascii="Arial" w:hAnsi="Arial" w:cs="Arial"/>
            <w:szCs w:val="24"/>
          </w:rPr>
          <w:t>orla.barron@belfasttrust.hscni.net</w:t>
        </w:r>
      </w:hyperlink>
    </w:p>
    <w:p w14:paraId="23DE523C" w14:textId="77777777" w:rsidR="008B7446" w:rsidRDefault="008B7446" w:rsidP="008B7446">
      <w:pPr>
        <w:shd w:val="clear" w:color="auto" w:fill="FFFFFF"/>
        <w:tabs>
          <w:tab w:val="left" w:pos="357"/>
        </w:tabs>
        <w:rPr>
          <w:rFonts w:ascii="Arial" w:hAnsi="Arial" w:cs="Arial"/>
          <w:szCs w:val="24"/>
        </w:rPr>
      </w:pPr>
    </w:p>
    <w:p w14:paraId="52E56223" w14:textId="77777777" w:rsidR="008B7446" w:rsidRDefault="008B7446" w:rsidP="008B7446">
      <w:pPr>
        <w:shd w:val="clear" w:color="auto" w:fill="FFFFFF"/>
        <w:tabs>
          <w:tab w:val="left" w:pos="357"/>
        </w:tabs>
        <w:rPr>
          <w:rFonts w:ascii="Arial" w:hAnsi="Arial" w:cs="Arial"/>
          <w:szCs w:val="24"/>
        </w:rPr>
      </w:pPr>
    </w:p>
    <w:p w14:paraId="58C08E22" w14:textId="77777777" w:rsidR="008B7446" w:rsidRDefault="008B7446" w:rsidP="008B7446">
      <w:pPr>
        <w:shd w:val="clear" w:color="auto" w:fill="FFFFFF"/>
        <w:tabs>
          <w:tab w:val="left" w:pos="357"/>
        </w:tabs>
        <w:rPr>
          <w:rFonts w:ascii="Arial" w:hAnsi="Arial" w:cs="Arial"/>
          <w:szCs w:val="24"/>
        </w:rPr>
      </w:pPr>
      <w:r>
        <w:rPr>
          <w:rFonts w:ascii="Arial" w:hAnsi="Arial" w:cs="Arial"/>
          <w:szCs w:val="24"/>
        </w:rPr>
        <w:t xml:space="preserve">This report details each proposal and the screening outcome – for ease of reference, readers can access the full completed screening template via a link to the Trust website. Should you have concerns which are based on supporting evidence regarding the screening decision, please contact the Health and Social Inequalities Manager as above and outline your concern along with the supporting evidence. Belfast Trust will duly consider rescreening the proposal. </w:t>
      </w:r>
    </w:p>
    <w:p w14:paraId="07547A01" w14:textId="77777777" w:rsidR="008B7446" w:rsidRDefault="008B7446" w:rsidP="008B7446">
      <w:pPr>
        <w:shd w:val="clear" w:color="auto" w:fill="FFFFFF"/>
        <w:tabs>
          <w:tab w:val="left" w:pos="357"/>
        </w:tabs>
        <w:rPr>
          <w:rFonts w:ascii="Arial" w:hAnsi="Arial" w:cs="Arial"/>
          <w:szCs w:val="24"/>
        </w:rPr>
      </w:pPr>
    </w:p>
    <w:p w14:paraId="5043CB0F" w14:textId="77777777" w:rsidR="008B7446" w:rsidRDefault="008B7446" w:rsidP="008B7446">
      <w:pPr>
        <w:shd w:val="clear" w:color="auto" w:fill="FFFFFF"/>
        <w:tabs>
          <w:tab w:val="left" w:pos="357"/>
        </w:tabs>
        <w:rPr>
          <w:rFonts w:ascii="Arial" w:hAnsi="Arial" w:cs="Arial"/>
          <w:szCs w:val="24"/>
        </w:rPr>
      </w:pPr>
    </w:p>
    <w:p w14:paraId="07459315" w14:textId="77777777" w:rsidR="008B7446" w:rsidRDefault="008B7446" w:rsidP="008B7446">
      <w:pPr>
        <w:spacing w:after="200" w:line="276" w:lineRule="auto"/>
        <w:rPr>
          <w:rFonts w:ascii="Arial" w:hAnsi="Arial" w:cs="Arial"/>
          <w:szCs w:val="24"/>
          <w:lang w:val="pt-PT"/>
        </w:rPr>
      </w:pPr>
      <w:r>
        <w:rPr>
          <w:rFonts w:ascii="Arial" w:hAnsi="Arial" w:cs="Arial"/>
          <w:szCs w:val="24"/>
          <w:lang w:val="pt-PT"/>
        </w:rPr>
        <w:br w:type="page"/>
      </w:r>
    </w:p>
    <w:p w14:paraId="6537F28F" w14:textId="77777777" w:rsidR="008B7446" w:rsidRPr="009C2693" w:rsidRDefault="008B7446" w:rsidP="008B7446">
      <w:pPr>
        <w:tabs>
          <w:tab w:val="left" w:pos="357"/>
        </w:tabs>
        <w:rPr>
          <w:rFonts w:ascii="Arial" w:hAnsi="Arial" w:cs="Arial"/>
          <w:szCs w:val="24"/>
          <w:lang w:val="pt-PT"/>
        </w:rPr>
      </w:pPr>
    </w:p>
    <w:p w14:paraId="11AF320A" w14:textId="77777777" w:rsidR="008B7446" w:rsidRPr="009C2693" w:rsidRDefault="008B7446" w:rsidP="008B7446">
      <w:pPr>
        <w:shd w:val="clear" w:color="auto" w:fill="990033"/>
        <w:rPr>
          <w:rFonts w:ascii="Arial" w:hAnsi="Arial" w:cs="Arial"/>
          <w:b/>
          <w:color w:val="FFFFFF"/>
        </w:rPr>
      </w:pPr>
      <w:r w:rsidRPr="009C2693">
        <w:rPr>
          <w:rFonts w:ascii="Arial" w:hAnsi="Arial" w:cs="Arial"/>
          <w:b/>
          <w:color w:val="FFFFFF"/>
          <w:sz w:val="32"/>
          <w:szCs w:val="32"/>
        </w:rPr>
        <w:t>Outcome of Screening</w:t>
      </w:r>
    </w:p>
    <w:p w14:paraId="6DFB9E20" w14:textId="77777777" w:rsidR="008B7446" w:rsidRPr="009C2693" w:rsidRDefault="008B7446" w:rsidP="008B7446">
      <w:pPr>
        <w:tabs>
          <w:tab w:val="left" w:pos="357"/>
        </w:tabs>
        <w:rPr>
          <w:rFonts w:ascii="Arial" w:hAnsi="Arial" w:cs="Arial"/>
          <w:b/>
          <w:bCs/>
          <w:sz w:val="28"/>
          <w:szCs w:val="28"/>
        </w:rPr>
      </w:pPr>
    </w:p>
    <w:p w14:paraId="3F1824FD" w14:textId="77777777" w:rsidR="008B7446" w:rsidRDefault="008B7446" w:rsidP="008B7446">
      <w:pPr>
        <w:pStyle w:val="Default"/>
      </w:pPr>
      <w:r w:rsidRPr="00923347">
        <w:t xml:space="preserve">The screening outcomes are outlined below. </w:t>
      </w:r>
      <w:r>
        <w:t xml:space="preserve"> </w:t>
      </w:r>
      <w:r w:rsidRPr="00923347">
        <w:t>Four</w:t>
      </w:r>
      <w:r w:rsidR="00FB3405">
        <w:t xml:space="preserve"> possible outcomes are recorded:</w:t>
      </w:r>
      <w:r w:rsidRPr="00923347">
        <w:t xml:space="preserve"> </w:t>
      </w:r>
    </w:p>
    <w:p w14:paraId="70DF9E56" w14:textId="77777777" w:rsidR="008B7446" w:rsidRPr="00923347" w:rsidRDefault="008B7446" w:rsidP="008B7446">
      <w:pPr>
        <w:pStyle w:val="Default"/>
      </w:pPr>
    </w:p>
    <w:p w14:paraId="1D081BA9" w14:textId="74C79EA3" w:rsidR="008B7446" w:rsidRDefault="008B7446" w:rsidP="008B7446">
      <w:pPr>
        <w:pStyle w:val="Default"/>
        <w:numPr>
          <w:ilvl w:val="0"/>
          <w:numId w:val="4"/>
        </w:numPr>
      </w:pPr>
      <w:r>
        <w:t xml:space="preserve">The policy has been </w:t>
      </w:r>
      <w:r w:rsidRPr="153D78A2">
        <w:rPr>
          <w:b/>
          <w:bCs/>
        </w:rPr>
        <w:t xml:space="preserve">‘screened </w:t>
      </w:r>
      <w:r w:rsidR="6C781860" w:rsidRPr="153D78A2">
        <w:rPr>
          <w:b/>
          <w:bCs/>
        </w:rPr>
        <w:t>out</w:t>
      </w:r>
      <w:r w:rsidRPr="153D78A2">
        <w:rPr>
          <w:b/>
          <w:bCs/>
        </w:rPr>
        <w:t xml:space="preserve">’ </w:t>
      </w:r>
      <w:r w:rsidR="19D9946D">
        <w:t xml:space="preserve">because it has </w:t>
      </w:r>
      <w:r w:rsidR="19D9946D" w:rsidRPr="153D78A2">
        <w:rPr>
          <w:b/>
          <w:bCs/>
        </w:rPr>
        <w:t xml:space="preserve">No relevance or bearing </w:t>
      </w:r>
      <w:r w:rsidR="19D9946D">
        <w:t>in</w:t>
      </w:r>
      <w:r w:rsidR="7456CFB2">
        <w:t xml:space="preserve"> terms of its likely impact (actual/potential) on equality of opportunity, good relations &amp; in relation to disability duties </w:t>
      </w:r>
      <w:r w:rsidR="5AE20E49">
        <w:t>&amp; human rights.</w:t>
      </w:r>
    </w:p>
    <w:p w14:paraId="44E871BC" w14:textId="77777777" w:rsidR="008B7446" w:rsidRPr="00923347" w:rsidRDefault="008B7446" w:rsidP="008B7446">
      <w:pPr>
        <w:pStyle w:val="Default"/>
        <w:ind w:left="720"/>
      </w:pPr>
    </w:p>
    <w:p w14:paraId="00E8CF5C" w14:textId="0F0B114D" w:rsidR="008B7446" w:rsidRDefault="008B7446" w:rsidP="008B7446">
      <w:pPr>
        <w:pStyle w:val="Default"/>
        <w:numPr>
          <w:ilvl w:val="0"/>
          <w:numId w:val="4"/>
        </w:numPr>
        <w:rPr>
          <w:b/>
          <w:bCs/>
        </w:rPr>
      </w:pPr>
      <w:r>
        <w:t xml:space="preserve">The policy has been </w:t>
      </w:r>
      <w:r w:rsidR="7FB25173" w:rsidRPr="153D78A2">
        <w:rPr>
          <w:b/>
          <w:bCs/>
        </w:rPr>
        <w:t>‘</w:t>
      </w:r>
      <w:r w:rsidRPr="153D78A2">
        <w:rPr>
          <w:b/>
          <w:bCs/>
        </w:rPr>
        <w:t xml:space="preserve">screened out’ with mitigation or an alternative policy </w:t>
      </w:r>
      <w:r w:rsidR="0D2C8EE2" w:rsidRPr="153D78A2">
        <w:rPr>
          <w:b/>
          <w:bCs/>
        </w:rPr>
        <w:t xml:space="preserve">has been </w:t>
      </w:r>
      <w:r w:rsidRPr="153D78A2">
        <w:rPr>
          <w:b/>
          <w:bCs/>
        </w:rPr>
        <w:t>adopted</w:t>
      </w:r>
      <w:r w:rsidR="50AE5AFA" w:rsidRPr="153D78A2">
        <w:rPr>
          <w:b/>
          <w:bCs/>
        </w:rPr>
        <w:t>.</w:t>
      </w:r>
    </w:p>
    <w:p w14:paraId="144A5D23" w14:textId="77777777" w:rsidR="008B7446" w:rsidRPr="00923347" w:rsidRDefault="008B7446" w:rsidP="008B7446">
      <w:pPr>
        <w:pStyle w:val="Default"/>
        <w:ind w:left="720"/>
      </w:pPr>
    </w:p>
    <w:p w14:paraId="7BEB65B6" w14:textId="49137B73" w:rsidR="008B7446" w:rsidRDefault="008B7446" w:rsidP="008B7446">
      <w:pPr>
        <w:pStyle w:val="Default"/>
        <w:numPr>
          <w:ilvl w:val="0"/>
          <w:numId w:val="4"/>
        </w:numPr>
        <w:rPr>
          <w:b/>
          <w:bCs/>
        </w:rPr>
      </w:pPr>
      <w:r>
        <w:t xml:space="preserve">The policy has been </w:t>
      </w:r>
      <w:r w:rsidRPr="153D78A2">
        <w:rPr>
          <w:b/>
          <w:bCs/>
        </w:rPr>
        <w:t xml:space="preserve">‘screened </w:t>
      </w:r>
      <w:r w:rsidR="020175BE" w:rsidRPr="153D78A2">
        <w:rPr>
          <w:b/>
          <w:bCs/>
        </w:rPr>
        <w:t>in</w:t>
      </w:r>
      <w:r w:rsidRPr="153D78A2">
        <w:rPr>
          <w:b/>
          <w:bCs/>
        </w:rPr>
        <w:t xml:space="preserve">’ </w:t>
      </w:r>
      <w:r w:rsidR="04BD8E8D" w:rsidRPr="153D78A2">
        <w:rPr>
          <w:b/>
          <w:bCs/>
        </w:rPr>
        <w:t>for an Equality Assessment.</w:t>
      </w:r>
      <w:r w:rsidRPr="153D78A2">
        <w:rPr>
          <w:b/>
          <w:bCs/>
        </w:rPr>
        <w:t xml:space="preserve"> </w:t>
      </w:r>
    </w:p>
    <w:p w14:paraId="738610EB" w14:textId="77777777" w:rsidR="008B7446" w:rsidRDefault="008B7446" w:rsidP="008B7446">
      <w:pPr>
        <w:pStyle w:val="Default"/>
        <w:ind w:left="720"/>
        <w:rPr>
          <w:b/>
          <w:bCs/>
        </w:rPr>
      </w:pPr>
    </w:p>
    <w:p w14:paraId="66DFF1B4" w14:textId="34E61AC6" w:rsidR="008B7446" w:rsidRPr="00FD43B7" w:rsidRDefault="008B7446" w:rsidP="153D78A2">
      <w:pPr>
        <w:pStyle w:val="Default"/>
        <w:ind w:left="720"/>
        <w:rPr>
          <w:b/>
          <w:bCs/>
        </w:rPr>
      </w:pPr>
      <w:r w:rsidRPr="153D78A2">
        <w:rPr>
          <w:sz w:val="28"/>
          <w:szCs w:val="28"/>
        </w:rPr>
        <w:t xml:space="preserve"> </w:t>
      </w:r>
      <w:r>
        <w:br w:type="page"/>
      </w:r>
    </w:p>
    <w:tbl>
      <w:tblPr>
        <w:tblW w:w="9782" w:type="dxa"/>
        <w:tblInd w:w="-284" w:type="dxa"/>
        <w:tblLayout w:type="fixed"/>
        <w:tblLook w:val="0000" w:firstRow="0" w:lastRow="0" w:firstColumn="0" w:lastColumn="0" w:noHBand="0" w:noVBand="0"/>
      </w:tblPr>
      <w:tblGrid>
        <w:gridCol w:w="5813"/>
        <w:gridCol w:w="3969"/>
      </w:tblGrid>
      <w:tr w:rsidR="00B74820" w:rsidRPr="00E718BE" w14:paraId="590A3611" w14:textId="77777777" w:rsidTr="0C87AC94">
        <w:trPr>
          <w:trHeight w:val="703"/>
        </w:trPr>
        <w:tc>
          <w:tcPr>
            <w:tcW w:w="5813" w:type="dxa"/>
            <w:tcBorders>
              <w:top w:val="single" w:sz="4" w:space="0" w:color="000000" w:themeColor="text1"/>
              <w:left w:val="nil"/>
              <w:bottom w:val="single" w:sz="4" w:space="0" w:color="000000" w:themeColor="text1"/>
              <w:right w:val="nil"/>
            </w:tcBorders>
            <w:shd w:val="clear" w:color="auto" w:fill="0070C0"/>
            <w:vAlign w:val="bottom"/>
          </w:tcPr>
          <w:p w14:paraId="1267D297" w14:textId="77777777" w:rsidR="00B74820" w:rsidRPr="00E718BE" w:rsidRDefault="00B74820" w:rsidP="0C87AC94">
            <w:pPr>
              <w:rPr>
                <w:rFonts w:ascii="Arial" w:hAnsi="Arial" w:cs="Arial"/>
                <w:b/>
                <w:bCs/>
                <w:color w:val="000000" w:themeColor="text1"/>
              </w:rPr>
            </w:pPr>
            <w:r w:rsidRPr="0C87AC94">
              <w:rPr>
                <w:rFonts w:ascii="Arial" w:hAnsi="Arial" w:cs="Arial"/>
                <w:b/>
                <w:bCs/>
                <w:color w:val="000000" w:themeColor="text1"/>
              </w:rPr>
              <w:lastRenderedPageBreak/>
              <w:t>Description of Policy or Proposal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bottom"/>
          </w:tcPr>
          <w:p w14:paraId="42CF232A" w14:textId="77777777" w:rsidR="00B74820" w:rsidRPr="00E718BE" w:rsidRDefault="00B74820" w:rsidP="0C87AC94">
            <w:pPr>
              <w:jc w:val="center"/>
              <w:rPr>
                <w:rFonts w:ascii="Arial" w:hAnsi="Arial" w:cs="Arial"/>
                <w:b/>
                <w:bCs/>
                <w:color w:val="000000" w:themeColor="text1"/>
              </w:rPr>
            </w:pPr>
            <w:r w:rsidRPr="0C87AC94">
              <w:rPr>
                <w:rFonts w:ascii="Arial" w:hAnsi="Arial" w:cs="Arial"/>
                <w:b/>
                <w:bCs/>
                <w:color w:val="000000" w:themeColor="text1"/>
              </w:rPr>
              <w:t>Screening Outcome</w:t>
            </w:r>
          </w:p>
        </w:tc>
      </w:tr>
      <w:tr w:rsidR="00FA7BD4" w:rsidRPr="00286904" w14:paraId="39C57B24"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38438DA9" w14:textId="46D8F85D" w:rsidR="00FA7BD4" w:rsidRDefault="3699534F" w:rsidP="6B80F3C3">
            <w:pPr>
              <w:autoSpaceDE w:val="0"/>
              <w:autoSpaceDN w:val="0"/>
              <w:adjustRightInd w:val="0"/>
              <w:rPr>
                <w:rFonts w:ascii="Arial" w:eastAsia="Calibri" w:hAnsi="Arial" w:cs="Arial"/>
                <w:b/>
                <w:bCs/>
                <w:color w:val="000000"/>
              </w:rPr>
            </w:pPr>
            <w:r w:rsidRPr="6B80F3C3">
              <w:rPr>
                <w:rFonts w:ascii="Arial" w:eastAsia="Calibri" w:hAnsi="Arial" w:cs="Arial"/>
                <w:b/>
                <w:bCs/>
                <w:color w:val="000000" w:themeColor="text1"/>
              </w:rPr>
              <w:t>13/12/2024</w:t>
            </w:r>
          </w:p>
          <w:p w14:paraId="637805D2" w14:textId="77777777" w:rsidR="00C36828" w:rsidRPr="00C36828" w:rsidRDefault="00C36828" w:rsidP="261FFAD5">
            <w:pPr>
              <w:autoSpaceDE w:val="0"/>
              <w:autoSpaceDN w:val="0"/>
              <w:adjustRightInd w:val="0"/>
              <w:rPr>
                <w:rFonts w:ascii="Arial" w:eastAsia="Calibri" w:hAnsi="Arial" w:cs="Arial"/>
                <w:b/>
                <w:bCs/>
                <w:color w:val="000000"/>
                <w:highlight w:val="yellow"/>
              </w:rPr>
            </w:pPr>
          </w:p>
          <w:p w14:paraId="463F29E8" w14:textId="04ECE9F6" w:rsidR="00AE625F" w:rsidRPr="00A81958" w:rsidRDefault="00587207" w:rsidP="05D91D62">
            <w:pPr>
              <w:autoSpaceDE w:val="0"/>
              <w:autoSpaceDN w:val="0"/>
              <w:adjustRightInd w:val="0"/>
              <w:rPr>
                <w:rFonts w:ascii="Arial" w:hAnsi="Arial" w:cs="Arial"/>
                <w:u w:val="single"/>
                <w:lang w:val="en-US"/>
              </w:rPr>
            </w:pPr>
            <w:hyperlink r:id="rId20" w:history="1">
              <w:r w:rsidR="12200730" w:rsidRPr="00587207">
                <w:rPr>
                  <w:rStyle w:val="Hyperlink"/>
                  <w:rFonts w:ascii="Arial" w:hAnsi="Arial" w:cs="Arial"/>
                  <w:lang w:val="en-US"/>
                </w:rPr>
                <w:t>Review of current enhanced supervision arrangements in h</w:t>
              </w:r>
              <w:r w:rsidR="12200730" w:rsidRPr="00587207">
                <w:rPr>
                  <w:rStyle w:val="Hyperlink"/>
                  <w:rFonts w:ascii="Arial" w:hAnsi="Arial" w:cs="Arial"/>
                  <w:lang w:val="en-US"/>
                </w:rPr>
                <w:t>ospital and community settings.</w:t>
              </w:r>
            </w:hyperlink>
          </w:p>
          <w:p w14:paraId="13B6ACA3" w14:textId="77777777" w:rsidR="00A81958" w:rsidRPr="00286904" w:rsidRDefault="00A81958" w:rsidP="261FFAD5">
            <w:pPr>
              <w:autoSpaceDE w:val="0"/>
              <w:autoSpaceDN w:val="0"/>
              <w:adjustRightInd w:val="0"/>
              <w:rPr>
                <w:rFonts w:ascii="Arial" w:eastAsia="Calibri" w:hAnsi="Arial" w:cs="Arial"/>
                <w:color w:val="000000"/>
                <w:highlight w:val="yellow"/>
              </w:rPr>
            </w:pPr>
          </w:p>
          <w:p w14:paraId="600387FD" w14:textId="77777777" w:rsidR="00AE625F" w:rsidRPr="00C36828" w:rsidRDefault="25D94EC6" w:rsidP="514B9105">
            <w:pPr>
              <w:autoSpaceDE w:val="0"/>
              <w:autoSpaceDN w:val="0"/>
              <w:adjustRightInd w:val="0"/>
              <w:rPr>
                <w:rFonts w:ascii="Arial" w:hAnsi="Arial" w:cs="Arial"/>
                <w:highlight w:val="yellow"/>
              </w:rPr>
            </w:pPr>
            <w:r w:rsidRPr="05D91D62">
              <w:rPr>
                <w:rFonts w:ascii="Arial" w:eastAsia="Calibri" w:hAnsi="Arial" w:cs="Arial"/>
                <w:b/>
                <w:bCs/>
                <w:color w:val="000000" w:themeColor="text1"/>
              </w:rPr>
              <w:t xml:space="preserve">Purpose:  </w:t>
            </w:r>
          </w:p>
          <w:p w14:paraId="72C5146F" w14:textId="05548DEE" w:rsidR="00AE625F" w:rsidRPr="00C36828" w:rsidRDefault="71CA1B58" w:rsidP="6B80F3C3">
            <w:pPr>
              <w:tabs>
                <w:tab w:val="left" w:pos="360"/>
              </w:tabs>
              <w:rPr>
                <w:rFonts w:ascii="Arial" w:eastAsia="Arial" w:hAnsi="Arial" w:cs="Arial"/>
                <w:szCs w:val="24"/>
              </w:rPr>
            </w:pPr>
            <w:r w:rsidRPr="6B80F3C3">
              <w:rPr>
                <w:rFonts w:ascii="Arial" w:eastAsia="Arial" w:hAnsi="Arial" w:cs="Arial"/>
                <w:color w:val="000000" w:themeColor="text1"/>
                <w:szCs w:val="24"/>
              </w:rPr>
              <w:t>The aim of this proposal is to assess the additional care and supervision provided in hospitals and community settings to confirm consistent, appropriate and effective support are provided. The proposal aims to ensure that the individual needs of service users are being met and that resources are allocated and used appropriately within Belfast Health and Social Care Trust.</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42A776A4" w14:textId="2D961FEF" w:rsidR="00FA7BD4" w:rsidRPr="0065389D" w:rsidRDefault="16B05B55" w:rsidP="6B80F3C3">
            <w:pPr>
              <w:rPr>
                <w:rFonts w:ascii="Arial" w:hAnsi="Arial" w:cs="Arial"/>
                <w:b/>
                <w:bCs/>
                <w:i/>
                <w:iCs/>
              </w:rPr>
            </w:pPr>
            <w:r w:rsidRPr="6B80F3C3">
              <w:rPr>
                <w:rFonts w:ascii="Arial" w:hAnsi="Arial" w:cs="Arial"/>
                <w:b/>
                <w:bCs/>
                <w:i/>
                <w:iCs/>
              </w:rPr>
              <w:t xml:space="preserve">Screened Out </w:t>
            </w:r>
            <w:r w:rsidR="55951C36" w:rsidRPr="6B80F3C3">
              <w:rPr>
                <w:rFonts w:ascii="Arial" w:hAnsi="Arial" w:cs="Arial"/>
                <w:b/>
                <w:bCs/>
                <w:i/>
                <w:iCs/>
              </w:rPr>
              <w:t>- minor impact with mitigation</w:t>
            </w:r>
          </w:p>
        </w:tc>
      </w:tr>
      <w:tr w:rsidR="00351F8E" w:rsidRPr="00286904" w14:paraId="3A0FF5F2"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5630AD66" w14:textId="77777777" w:rsidR="00351F8E" w:rsidRPr="00286904" w:rsidRDefault="00351F8E" w:rsidP="008B07F2">
            <w:pPr>
              <w:autoSpaceDE w:val="0"/>
              <w:autoSpaceDN w:val="0"/>
              <w:adjustRightInd w:val="0"/>
              <w:rPr>
                <w:rFonts w:ascii="Arial" w:eastAsia="Calibri" w:hAnsi="Arial" w:cs="Arial"/>
                <w:b/>
                <w:color w:val="000000"/>
                <w:szCs w:val="24"/>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1829076" w14:textId="77777777" w:rsidR="00351F8E" w:rsidRPr="00286904" w:rsidRDefault="00351F8E" w:rsidP="008B07F2">
            <w:pPr>
              <w:rPr>
                <w:rFonts w:ascii="Arial" w:hAnsi="Arial" w:cs="Arial"/>
                <w:b/>
                <w:i/>
                <w:szCs w:val="24"/>
                <w:highlight w:val="yellow"/>
              </w:rPr>
            </w:pPr>
          </w:p>
        </w:tc>
      </w:tr>
      <w:tr w:rsidR="00795365" w:rsidRPr="00286904" w14:paraId="64346540"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718613D8" w14:textId="7D536750" w:rsidR="00795365" w:rsidRPr="00A81958" w:rsidRDefault="29CD63E3" w:rsidP="6B80F3C3">
            <w:pPr>
              <w:autoSpaceDE w:val="0"/>
              <w:autoSpaceDN w:val="0"/>
              <w:adjustRightInd w:val="0"/>
              <w:rPr>
                <w:rFonts w:ascii="Arial" w:eastAsia="Calibri" w:hAnsi="Arial" w:cs="Arial"/>
                <w:b/>
                <w:bCs/>
                <w:color w:val="000000"/>
              </w:rPr>
            </w:pPr>
            <w:r w:rsidRPr="6B80F3C3">
              <w:rPr>
                <w:rFonts w:ascii="Arial" w:eastAsia="Calibri" w:hAnsi="Arial" w:cs="Arial"/>
                <w:b/>
                <w:bCs/>
                <w:color w:val="000000" w:themeColor="text1"/>
              </w:rPr>
              <w:t>07/01/2025</w:t>
            </w:r>
          </w:p>
          <w:p w14:paraId="2BA226A1" w14:textId="77777777" w:rsidR="00EA6765" w:rsidRDefault="00EA6765" w:rsidP="6B80F3C3">
            <w:pPr>
              <w:autoSpaceDE w:val="0"/>
              <w:autoSpaceDN w:val="0"/>
              <w:adjustRightInd w:val="0"/>
              <w:rPr>
                <w:rFonts w:ascii="Arial" w:eastAsia="Calibri" w:hAnsi="Arial" w:cs="Arial"/>
                <w:b/>
                <w:bCs/>
                <w:color w:val="000000"/>
              </w:rPr>
            </w:pPr>
          </w:p>
          <w:p w14:paraId="17AD93B2" w14:textId="69346C0E" w:rsidR="00795365" w:rsidRDefault="00587207" w:rsidP="05D91D62">
            <w:pPr>
              <w:rPr>
                <w:rFonts w:ascii="Arial" w:hAnsi="Arial" w:cs="Arial"/>
                <w:u w:val="single"/>
              </w:rPr>
            </w:pPr>
            <w:hyperlink r:id="rId21" w:history="1">
              <w:r w:rsidR="29CD63E3" w:rsidRPr="00587207">
                <w:rPr>
                  <w:rStyle w:val="Hyperlink"/>
                  <w:rFonts w:ascii="Arial" w:hAnsi="Arial" w:cs="Arial"/>
                </w:rPr>
                <w:t>Social Care Supervision P</w:t>
              </w:r>
              <w:r w:rsidR="29CD63E3" w:rsidRPr="00587207">
                <w:rPr>
                  <w:rStyle w:val="Hyperlink"/>
                  <w:rFonts w:ascii="Arial" w:hAnsi="Arial" w:cs="Arial"/>
                </w:rPr>
                <w:t>olicy</w:t>
              </w:r>
            </w:hyperlink>
            <w:r w:rsidR="29CD63E3" w:rsidRPr="05D91D62">
              <w:rPr>
                <w:rFonts w:ascii="Arial" w:hAnsi="Arial" w:cs="Arial"/>
                <w:u w:val="single"/>
              </w:rPr>
              <w:t xml:space="preserve"> </w:t>
            </w:r>
          </w:p>
          <w:p w14:paraId="653B9AAC" w14:textId="77777777" w:rsidR="00A81958" w:rsidRPr="00A81958" w:rsidRDefault="00A81958" w:rsidP="514B9105">
            <w:pPr>
              <w:rPr>
                <w:rFonts w:ascii="Arial" w:hAnsi="Arial" w:cs="Arial"/>
                <w:highlight w:val="yellow"/>
              </w:rPr>
            </w:pPr>
          </w:p>
          <w:p w14:paraId="06FB35D0" w14:textId="77777777" w:rsidR="00EA6765" w:rsidRPr="00A81958" w:rsidRDefault="2B9BF822" w:rsidP="6B80F3C3">
            <w:pPr>
              <w:autoSpaceDE w:val="0"/>
              <w:autoSpaceDN w:val="0"/>
              <w:adjustRightInd w:val="0"/>
              <w:rPr>
                <w:rFonts w:ascii="Arial" w:hAnsi="Arial" w:cs="Arial"/>
              </w:rPr>
            </w:pPr>
            <w:r w:rsidRPr="6B80F3C3">
              <w:rPr>
                <w:rFonts w:ascii="Arial" w:eastAsia="Calibri" w:hAnsi="Arial" w:cs="Arial"/>
                <w:b/>
                <w:bCs/>
                <w:color w:val="000000" w:themeColor="text1"/>
              </w:rPr>
              <w:t xml:space="preserve">Purpose:  </w:t>
            </w:r>
          </w:p>
          <w:p w14:paraId="0DE4B5B7" w14:textId="736F4E2A" w:rsidR="00A81958" w:rsidRPr="00061709" w:rsidRDefault="600BF926" w:rsidP="6B80F3C3">
            <w:pPr>
              <w:rPr>
                <w:rFonts w:ascii="Arial" w:eastAsia="Arial" w:hAnsi="Arial" w:cs="Arial"/>
                <w:szCs w:val="24"/>
              </w:rPr>
            </w:pPr>
            <w:r w:rsidRPr="6B80F3C3">
              <w:rPr>
                <w:rFonts w:ascii="Arial" w:eastAsia="Arial" w:hAnsi="Arial" w:cs="Arial"/>
                <w:color w:val="000000" w:themeColor="text1"/>
                <w:szCs w:val="24"/>
              </w:rPr>
              <w:t>Supervision is an important mechanism in ensuring the safe and effective delivery of social care services in the Trust and ensures staff have access to professional development opportunities and support. Supervision will enable participation and engagement with the organisation for the social care workforce</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741678F2" w14:textId="00993ECA" w:rsidR="00795365" w:rsidRPr="00286904" w:rsidRDefault="1C38C022" w:rsidP="6B80F3C3">
            <w:pPr>
              <w:rPr>
                <w:rFonts w:ascii="Arial" w:hAnsi="Arial" w:cs="Arial"/>
                <w:b/>
                <w:bCs/>
                <w:i/>
                <w:iCs/>
              </w:rPr>
            </w:pPr>
            <w:r w:rsidRPr="6B80F3C3">
              <w:rPr>
                <w:rFonts w:ascii="Arial" w:hAnsi="Arial" w:cs="Arial"/>
                <w:b/>
                <w:bCs/>
                <w:i/>
                <w:iCs/>
              </w:rPr>
              <w:t>Screened Out</w:t>
            </w:r>
          </w:p>
        </w:tc>
      </w:tr>
      <w:tr w:rsidR="00795365" w:rsidRPr="00286904" w14:paraId="66204FF1"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2DBF0D7D" w14:textId="77777777" w:rsidR="00795365" w:rsidRPr="00286904" w:rsidRDefault="00795365" w:rsidP="00795365">
            <w:pPr>
              <w:ind w:left="1080"/>
              <w:rPr>
                <w:rFonts w:ascii="Arial" w:hAnsi="Arial" w:cs="Arial"/>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B62F1B3" w14:textId="77777777" w:rsidR="00795365" w:rsidRPr="00286904" w:rsidRDefault="00795365" w:rsidP="514B9105">
            <w:pPr>
              <w:rPr>
                <w:rFonts w:ascii="Arial" w:hAnsi="Arial" w:cs="Arial"/>
                <w:b/>
                <w:bCs/>
                <w:i/>
                <w:iCs/>
                <w:highlight w:val="yellow"/>
              </w:rPr>
            </w:pPr>
          </w:p>
        </w:tc>
      </w:tr>
      <w:tr w:rsidR="0071238B" w:rsidRPr="00286904" w14:paraId="65165311"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0666545D" w14:textId="51D87D78" w:rsidR="0071238B" w:rsidRPr="00251EC1" w:rsidRDefault="36CD7674" w:rsidP="6B80F3C3">
            <w:pPr>
              <w:rPr>
                <w:rFonts w:ascii="Arial" w:hAnsi="Arial" w:cs="Arial"/>
                <w:b/>
                <w:bCs/>
              </w:rPr>
            </w:pPr>
            <w:r w:rsidRPr="6B80F3C3">
              <w:rPr>
                <w:rFonts w:ascii="Arial" w:hAnsi="Arial" w:cs="Arial"/>
                <w:b/>
                <w:bCs/>
              </w:rPr>
              <w:t>07/0</w:t>
            </w:r>
            <w:r w:rsidR="4CD0DE08" w:rsidRPr="6B80F3C3">
              <w:rPr>
                <w:rFonts w:ascii="Arial" w:hAnsi="Arial" w:cs="Arial"/>
                <w:b/>
                <w:bCs/>
              </w:rPr>
              <w:t>1/2025</w:t>
            </w:r>
          </w:p>
          <w:p w14:paraId="13F877AD" w14:textId="77777777" w:rsidR="00251EC1" w:rsidRDefault="00251EC1" w:rsidP="261FFAD5">
            <w:pPr>
              <w:rPr>
                <w:rFonts w:ascii="Arial" w:hAnsi="Arial" w:cs="Arial"/>
                <w:b/>
                <w:bCs/>
                <w:highlight w:val="yellow"/>
              </w:rPr>
            </w:pPr>
          </w:p>
          <w:p w14:paraId="02F2C34E" w14:textId="39FD52D3" w:rsidR="00EA6765" w:rsidRDefault="00587207" w:rsidP="05D91D62">
            <w:pPr>
              <w:rPr>
                <w:rFonts w:ascii="Arial" w:hAnsi="Arial" w:cs="Arial"/>
                <w:u w:val="single"/>
              </w:rPr>
            </w:pPr>
            <w:hyperlink r:id="rId22" w:history="1">
              <w:r w:rsidR="4CD0DE08" w:rsidRPr="00587207">
                <w:rPr>
                  <w:rStyle w:val="Hyperlink"/>
                  <w:rFonts w:ascii="Arial" w:hAnsi="Arial" w:cs="Arial"/>
                </w:rPr>
                <w:t xml:space="preserve">Review of Orthopaedic Services </w:t>
              </w:r>
              <w:r w:rsidR="4CD0DE08" w:rsidRPr="00587207">
                <w:rPr>
                  <w:rStyle w:val="Hyperlink"/>
                  <w:rFonts w:ascii="Arial" w:hAnsi="Arial" w:cs="Arial"/>
                </w:rPr>
                <w:t>Pre-Operative assessment.</w:t>
              </w:r>
            </w:hyperlink>
          </w:p>
          <w:p w14:paraId="59C34C7D" w14:textId="77777777" w:rsidR="00251EC1" w:rsidRPr="00251EC1" w:rsidRDefault="00251EC1" w:rsidP="514B9105">
            <w:pPr>
              <w:rPr>
                <w:rFonts w:ascii="Arial" w:hAnsi="Arial" w:cs="Arial"/>
                <w:color w:val="000000"/>
                <w:highlight w:val="yellow"/>
              </w:rPr>
            </w:pPr>
          </w:p>
          <w:p w14:paraId="297D9C6A" w14:textId="77777777" w:rsidR="00EA6765" w:rsidRPr="00251EC1" w:rsidRDefault="2B9BF822" w:rsidP="6B80F3C3">
            <w:pPr>
              <w:autoSpaceDE w:val="0"/>
              <w:autoSpaceDN w:val="0"/>
              <w:adjustRightInd w:val="0"/>
              <w:rPr>
                <w:rFonts w:ascii="Arial" w:eastAsia="Calibri" w:hAnsi="Arial" w:cs="Arial"/>
                <w:b/>
                <w:bCs/>
                <w:color w:val="000000" w:themeColor="text1"/>
              </w:rPr>
            </w:pPr>
            <w:r w:rsidRPr="6B80F3C3">
              <w:rPr>
                <w:rFonts w:ascii="Arial" w:eastAsia="Calibri" w:hAnsi="Arial" w:cs="Arial"/>
                <w:b/>
                <w:bCs/>
                <w:color w:val="000000" w:themeColor="text1"/>
              </w:rPr>
              <w:t xml:space="preserve">Purpose:  </w:t>
            </w:r>
          </w:p>
          <w:p w14:paraId="3D72BC5B" w14:textId="75EA0175" w:rsidR="5EF470A4" w:rsidRDefault="5EF470A4" w:rsidP="6B80F3C3">
            <w:pPr>
              <w:rPr>
                <w:rFonts w:ascii="Arial" w:eastAsia="Arial" w:hAnsi="Arial" w:cs="Arial"/>
                <w:szCs w:val="24"/>
              </w:rPr>
            </w:pPr>
            <w:r w:rsidRPr="6B80F3C3">
              <w:rPr>
                <w:rFonts w:ascii="Arial" w:eastAsia="Arial" w:hAnsi="Arial" w:cs="Arial"/>
                <w:szCs w:val="24"/>
              </w:rPr>
              <w:t>Currently we triage 450 patients per month to secure 360 Pre-operative assessment face-to-face (F2F) appointments.</w:t>
            </w:r>
          </w:p>
          <w:p w14:paraId="26D07B03" w14:textId="054945E9" w:rsidR="5EF470A4" w:rsidRDefault="5EF470A4" w:rsidP="6B80F3C3">
            <w:pPr>
              <w:rPr>
                <w:rFonts w:ascii="Arial" w:eastAsia="Arial" w:hAnsi="Arial" w:cs="Arial"/>
                <w:szCs w:val="24"/>
              </w:rPr>
            </w:pPr>
            <w:r w:rsidRPr="6B80F3C3">
              <w:rPr>
                <w:rFonts w:ascii="Arial" w:eastAsia="Arial" w:hAnsi="Arial" w:cs="Arial"/>
                <w:szCs w:val="24"/>
              </w:rPr>
              <w:t>This is insufficient to meet the service demands and maximal theatre utilisation at a rolling average of 90 Theatre sessions per week. On average 90 theatre sessions per week equate to 180 patients.</w:t>
            </w:r>
          </w:p>
          <w:p w14:paraId="680A4E5D" w14:textId="7EABF3FD" w:rsidR="00EA6765" w:rsidRPr="00712519" w:rsidRDefault="00EA6765" w:rsidP="6B80F3C3">
            <w:pPr>
              <w:tabs>
                <w:tab w:val="left" w:pos="360"/>
              </w:tabs>
              <w:rPr>
                <w:rFonts w:eastAsia="Verdana" w:cs="Verdana"/>
                <w:sz w:val="20"/>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6117E3CB" w14:textId="503D5DAD" w:rsidR="0071238B" w:rsidRPr="00286904" w:rsidRDefault="06751E9A" w:rsidP="6B80F3C3">
            <w:pPr>
              <w:rPr>
                <w:rFonts w:ascii="Arial" w:hAnsi="Arial" w:cs="Arial"/>
                <w:b/>
                <w:bCs/>
                <w:i/>
                <w:iCs/>
              </w:rPr>
            </w:pPr>
            <w:r w:rsidRPr="6B80F3C3">
              <w:rPr>
                <w:rFonts w:ascii="Arial" w:hAnsi="Arial" w:cs="Arial"/>
                <w:b/>
                <w:bCs/>
                <w:i/>
                <w:iCs/>
              </w:rPr>
              <w:t xml:space="preserve">Screened out </w:t>
            </w:r>
          </w:p>
        </w:tc>
      </w:tr>
      <w:tr w:rsidR="0071238B" w:rsidRPr="00286904" w14:paraId="19219836"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296FEF7D" w14:textId="77777777" w:rsidR="0071238B" w:rsidRPr="00286904" w:rsidRDefault="0071238B" w:rsidP="261FFAD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194DBDC" w14:textId="77777777" w:rsidR="0071238B" w:rsidRPr="00286904" w:rsidRDefault="0071238B" w:rsidP="514B9105">
            <w:pPr>
              <w:rPr>
                <w:rFonts w:ascii="Arial" w:hAnsi="Arial" w:cs="Arial"/>
                <w:b/>
                <w:bCs/>
                <w:i/>
                <w:iCs/>
                <w:highlight w:val="yellow"/>
              </w:rPr>
            </w:pPr>
          </w:p>
        </w:tc>
      </w:tr>
      <w:tr w:rsidR="00A378D0" w:rsidRPr="00286904" w14:paraId="1F3D79DC"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1A4C285D" w14:textId="29CB375E" w:rsidR="00A378D0" w:rsidRPr="00A378D0" w:rsidRDefault="3936E70B" w:rsidP="6B80F3C3">
            <w:pPr>
              <w:rPr>
                <w:rFonts w:ascii="Arial" w:hAnsi="Arial" w:cs="Arial"/>
                <w:b/>
                <w:bCs/>
              </w:rPr>
            </w:pPr>
            <w:r w:rsidRPr="6B80F3C3">
              <w:rPr>
                <w:rFonts w:ascii="Arial" w:hAnsi="Arial" w:cs="Arial"/>
                <w:b/>
                <w:bCs/>
              </w:rPr>
              <w:lastRenderedPageBreak/>
              <w:t>21/01/2025</w:t>
            </w:r>
          </w:p>
          <w:p w14:paraId="769D0D3C" w14:textId="77777777" w:rsidR="00A378D0" w:rsidRPr="00286904" w:rsidRDefault="00A378D0" w:rsidP="00A378D0">
            <w:pPr>
              <w:rPr>
                <w:rFonts w:ascii="Arial" w:hAnsi="Arial" w:cs="Arial"/>
                <w:b/>
                <w:bCs/>
                <w:highlight w:val="yellow"/>
              </w:rPr>
            </w:pPr>
          </w:p>
          <w:p w14:paraId="54CD245A" w14:textId="769B8CF1" w:rsidR="00A378D0" w:rsidRPr="00183F66" w:rsidRDefault="00104D85" w:rsidP="05D91D62">
            <w:pPr>
              <w:rPr>
                <w:rFonts w:ascii="Arial" w:hAnsi="Arial" w:cs="Arial"/>
                <w:u w:val="single"/>
              </w:rPr>
            </w:pPr>
            <w:hyperlink r:id="rId23" w:history="1">
              <w:r w:rsidR="3936E70B" w:rsidRPr="00104D85">
                <w:rPr>
                  <w:rStyle w:val="Hyperlink"/>
                  <w:rFonts w:ascii="Arial" w:hAnsi="Arial" w:cs="Arial"/>
                </w:rPr>
                <w:t>Wound Management Principles of Caring for Patients with an open woun</w:t>
              </w:r>
              <w:r w:rsidR="3936E70B" w:rsidRPr="00104D85">
                <w:rPr>
                  <w:rStyle w:val="Hyperlink"/>
                  <w:rFonts w:ascii="Arial" w:hAnsi="Arial" w:cs="Arial"/>
                </w:rPr>
                <w:t>d.</w:t>
              </w:r>
            </w:hyperlink>
          </w:p>
          <w:p w14:paraId="370503AE" w14:textId="77777777" w:rsidR="00A378D0" w:rsidRPr="00762ABB" w:rsidRDefault="00A378D0" w:rsidP="00A378D0">
            <w:pPr>
              <w:rPr>
                <w:rFonts w:ascii="Arial" w:hAnsi="Arial" w:cs="Arial"/>
                <w:b/>
                <w:bCs/>
                <w:highlight w:val="yellow"/>
              </w:rPr>
            </w:pPr>
          </w:p>
          <w:p w14:paraId="4FB3E2D4" w14:textId="77777777" w:rsidR="00A378D0" w:rsidRPr="00A378D0" w:rsidRDefault="333C3F39" w:rsidP="05D91D62">
            <w:pPr>
              <w:rPr>
                <w:rFonts w:ascii="Arial" w:hAnsi="Arial" w:cs="Arial"/>
                <w:b/>
                <w:bCs/>
              </w:rPr>
            </w:pPr>
            <w:r w:rsidRPr="05D91D62">
              <w:rPr>
                <w:rFonts w:ascii="Arial" w:hAnsi="Arial" w:cs="Arial"/>
                <w:b/>
                <w:bCs/>
              </w:rPr>
              <w:t>Purpose:</w:t>
            </w:r>
          </w:p>
          <w:p w14:paraId="12FE893C" w14:textId="5EFE5734" w:rsidR="5FA4D58C" w:rsidRDefault="5FA4D58C" w:rsidP="6B80F3C3">
            <w:pPr>
              <w:rPr>
                <w:rFonts w:ascii="Arial" w:eastAsia="Arial" w:hAnsi="Arial" w:cs="Arial"/>
                <w:szCs w:val="24"/>
              </w:rPr>
            </w:pPr>
            <w:r w:rsidRPr="6B80F3C3">
              <w:rPr>
                <w:rFonts w:ascii="Arial" w:eastAsia="Arial" w:hAnsi="Arial" w:cs="Arial"/>
                <w:color w:val="000000" w:themeColor="text1"/>
                <w:szCs w:val="24"/>
              </w:rPr>
              <w:t>A wound may be defined as a break in the skin (epidermis/dermis); in some instances, underlying structures (subcutaneous tissue, muscle, tendon or bone) will be exposed/damaged. When the skin edges cannot be approximated, the wound is left to heal by secondary intention. Whilst most open wounds heal in a timely manner, a significant number of people experience delayed healing due to underlying disease or an ineffective treatment plan.</w:t>
            </w:r>
          </w:p>
          <w:p w14:paraId="4AB2B924" w14:textId="77777777" w:rsidR="008A3C0F" w:rsidRDefault="008A3C0F" w:rsidP="514B9105">
            <w:pPr>
              <w:rPr>
                <w:rStyle w:val="eop"/>
                <w:rFonts w:ascii="Arial" w:hAnsi="Arial"/>
                <w:highlight w:val="yellow"/>
                <w:shd w:val="clear" w:color="auto" w:fill="FFFFFF"/>
              </w:rPr>
            </w:pPr>
          </w:p>
          <w:p w14:paraId="6A6BE64C" w14:textId="3D3C3B10" w:rsidR="008A3C0F" w:rsidRPr="00762ABB" w:rsidRDefault="008A3C0F" w:rsidP="514B9105">
            <w:pPr>
              <w:rPr>
                <w:rFonts w:cs="Arial"/>
                <w:color w:val="000000"/>
                <w:sz w:val="20"/>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19C12F79" w14:textId="6AE77BA3" w:rsidR="00A378D0" w:rsidRPr="00286904" w:rsidRDefault="333C3F39" w:rsidP="6B80F3C3">
            <w:pPr>
              <w:rPr>
                <w:rFonts w:ascii="Arial" w:hAnsi="Arial" w:cs="Arial"/>
                <w:b/>
                <w:bCs/>
                <w:i/>
                <w:iCs/>
              </w:rPr>
            </w:pPr>
            <w:r w:rsidRPr="6B80F3C3">
              <w:rPr>
                <w:rFonts w:ascii="Arial" w:hAnsi="Arial" w:cs="Arial"/>
                <w:b/>
                <w:bCs/>
                <w:i/>
                <w:iCs/>
              </w:rPr>
              <w:t xml:space="preserve">Screened out </w:t>
            </w:r>
          </w:p>
        </w:tc>
      </w:tr>
      <w:tr w:rsidR="00A378D0" w:rsidRPr="00286904" w14:paraId="36FEB5B0"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30D7AA69" w14:textId="77777777" w:rsidR="00A378D0" w:rsidRPr="00286904" w:rsidRDefault="00A378D0" w:rsidP="00A378D0">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196D064" w14:textId="77777777" w:rsidR="00A378D0" w:rsidRPr="00286904" w:rsidRDefault="00A378D0" w:rsidP="514B9105">
            <w:pPr>
              <w:rPr>
                <w:rFonts w:ascii="Arial" w:hAnsi="Arial" w:cs="Arial"/>
                <w:b/>
                <w:bCs/>
                <w:i/>
                <w:iCs/>
                <w:highlight w:val="yellow"/>
              </w:rPr>
            </w:pPr>
          </w:p>
        </w:tc>
      </w:tr>
    </w:tbl>
    <w:p w14:paraId="34FF1C98" w14:textId="5DE72A55" w:rsidR="00AA42E6" w:rsidRPr="00286904" w:rsidRDefault="00AA42E6">
      <w:pPr>
        <w:rPr>
          <w:highlight w:val="yellow"/>
        </w:rPr>
      </w:pPr>
    </w:p>
    <w:tbl>
      <w:tblPr>
        <w:tblW w:w="9782" w:type="dxa"/>
        <w:tblInd w:w="-289" w:type="dxa"/>
        <w:tblLayout w:type="fixed"/>
        <w:tblLook w:val="0000" w:firstRow="0" w:lastRow="0" w:firstColumn="0" w:lastColumn="0" w:noHBand="0" w:noVBand="0"/>
      </w:tblPr>
      <w:tblGrid>
        <w:gridCol w:w="5813"/>
        <w:gridCol w:w="3969"/>
      </w:tblGrid>
      <w:tr w:rsidR="00AA42E6" w:rsidRPr="00286904" w14:paraId="39549C22"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3C30E57F" w14:textId="0A44661F" w:rsidR="00626AA7" w:rsidRPr="00F43E9E" w:rsidRDefault="3FC289AF" w:rsidP="6B80F3C3">
            <w:pPr>
              <w:rPr>
                <w:rFonts w:ascii="Arial" w:hAnsi="Arial" w:cs="Arial"/>
                <w:b/>
                <w:bCs/>
              </w:rPr>
            </w:pPr>
            <w:r w:rsidRPr="6B80F3C3">
              <w:rPr>
                <w:rFonts w:ascii="Arial" w:hAnsi="Arial" w:cs="Arial"/>
                <w:b/>
                <w:bCs/>
              </w:rPr>
              <w:t>2</w:t>
            </w:r>
            <w:r w:rsidR="5AB3EAE2" w:rsidRPr="6B80F3C3">
              <w:rPr>
                <w:rFonts w:ascii="Arial" w:hAnsi="Arial" w:cs="Arial"/>
                <w:b/>
                <w:bCs/>
              </w:rPr>
              <w:t>7/01/2025</w:t>
            </w:r>
          </w:p>
          <w:p w14:paraId="6D072C0D" w14:textId="77777777" w:rsidR="00762ABB" w:rsidRPr="00762ABB" w:rsidRDefault="00762ABB" w:rsidP="261FFAD5">
            <w:pPr>
              <w:rPr>
                <w:rFonts w:ascii="Arial" w:hAnsi="Arial" w:cs="Arial"/>
                <w:b/>
                <w:bCs/>
                <w:highlight w:val="yellow"/>
              </w:rPr>
            </w:pPr>
          </w:p>
          <w:p w14:paraId="48A21919" w14:textId="47CF7897" w:rsidR="00626AA7" w:rsidRPr="00F43E9E" w:rsidRDefault="00587207" w:rsidP="05D91D62">
            <w:pPr>
              <w:rPr>
                <w:rFonts w:ascii="Arial" w:hAnsi="Arial" w:cs="Arial"/>
                <w:u w:val="single"/>
              </w:rPr>
            </w:pPr>
            <w:hyperlink r:id="rId24" w:history="1">
              <w:r w:rsidR="5AB3EAE2" w:rsidRPr="00587207">
                <w:rPr>
                  <w:rStyle w:val="Hyperlink"/>
                  <w:rFonts w:ascii="Arial" w:hAnsi="Arial" w:cs="Arial"/>
                </w:rPr>
                <w:t>Management of Arterial Lines in A</w:t>
              </w:r>
              <w:r w:rsidR="5AB3EAE2" w:rsidRPr="00587207">
                <w:rPr>
                  <w:rStyle w:val="Hyperlink"/>
                  <w:rFonts w:ascii="Arial" w:hAnsi="Arial" w:cs="Arial"/>
                </w:rPr>
                <w:t>dult Patients</w:t>
              </w:r>
            </w:hyperlink>
          </w:p>
          <w:p w14:paraId="2EEE322B" w14:textId="77777777" w:rsidR="00F43E9E" w:rsidRPr="00762ABB" w:rsidRDefault="00F43E9E" w:rsidP="261FFAD5">
            <w:pPr>
              <w:rPr>
                <w:rFonts w:ascii="Arial" w:hAnsi="Arial" w:cs="Arial"/>
                <w:highlight w:val="yellow"/>
              </w:rPr>
            </w:pPr>
          </w:p>
          <w:p w14:paraId="6C791A0E" w14:textId="77777777" w:rsidR="00762ABB" w:rsidRPr="00F43E9E" w:rsidRDefault="39A454BA" w:rsidP="6B80F3C3">
            <w:pPr>
              <w:rPr>
                <w:rFonts w:ascii="Arial" w:hAnsi="Arial" w:cs="Arial"/>
                <w:b/>
                <w:bCs/>
              </w:rPr>
            </w:pPr>
            <w:r w:rsidRPr="05D91D62">
              <w:rPr>
                <w:rFonts w:ascii="Arial" w:hAnsi="Arial" w:cs="Arial"/>
                <w:b/>
                <w:bCs/>
              </w:rPr>
              <w:t>Purpose:</w:t>
            </w:r>
          </w:p>
          <w:p w14:paraId="4DEA1E79" w14:textId="3C643A6E" w:rsidR="008A3C0F" w:rsidRDefault="5417551F" w:rsidP="05D91D62">
            <w:pPr>
              <w:rPr>
                <w:rFonts w:ascii="Arial" w:eastAsia="Arial" w:hAnsi="Arial" w:cs="Arial"/>
                <w:szCs w:val="24"/>
              </w:rPr>
            </w:pPr>
            <w:r w:rsidRPr="05D91D62">
              <w:rPr>
                <w:rFonts w:ascii="Arial" w:eastAsia="Arial" w:hAnsi="Arial" w:cs="Arial"/>
                <w:color w:val="000000" w:themeColor="text1"/>
                <w:szCs w:val="24"/>
              </w:rPr>
              <w:t xml:space="preserve">The aims of the policy are for healthcare personnel to be aware of: </w:t>
            </w:r>
          </w:p>
          <w:p w14:paraId="235F953F" w14:textId="5B2A155E" w:rsidR="008A3C0F" w:rsidRDefault="5417551F" w:rsidP="05D91D62">
            <w:pPr>
              <w:rPr>
                <w:rFonts w:ascii="Arial" w:eastAsia="Arial" w:hAnsi="Arial" w:cs="Arial"/>
                <w:szCs w:val="24"/>
              </w:rPr>
            </w:pPr>
            <w:r w:rsidRPr="05D91D62">
              <w:rPr>
                <w:rFonts w:ascii="Arial" w:eastAsia="Arial" w:hAnsi="Arial" w:cs="Arial"/>
                <w:color w:val="000000" w:themeColor="text1"/>
                <w:szCs w:val="24"/>
              </w:rPr>
              <w:t xml:space="preserve">● the indications for, and contraindications to, insertion of arterial lines </w:t>
            </w:r>
          </w:p>
          <w:p w14:paraId="353CDFD7" w14:textId="3DEA034D" w:rsidR="008A3C0F" w:rsidRDefault="5417551F" w:rsidP="05D91D62">
            <w:pPr>
              <w:rPr>
                <w:rFonts w:ascii="Arial" w:eastAsia="Arial" w:hAnsi="Arial" w:cs="Arial"/>
                <w:szCs w:val="24"/>
              </w:rPr>
            </w:pPr>
            <w:r w:rsidRPr="05D91D62">
              <w:rPr>
                <w:rFonts w:ascii="Arial" w:eastAsia="Arial" w:hAnsi="Arial" w:cs="Arial"/>
                <w:color w:val="000000" w:themeColor="text1"/>
                <w:szCs w:val="24"/>
              </w:rPr>
              <w:t xml:space="preserve">● the procedure for safe insertion of an arterial catheter and set-up of the transducer equipment </w:t>
            </w:r>
          </w:p>
          <w:p w14:paraId="24DC7920" w14:textId="3C022095" w:rsidR="008A3C0F" w:rsidRDefault="5417551F" w:rsidP="05D91D62">
            <w:pPr>
              <w:rPr>
                <w:rFonts w:ascii="Arial" w:eastAsia="Arial" w:hAnsi="Arial" w:cs="Arial"/>
                <w:szCs w:val="24"/>
              </w:rPr>
            </w:pPr>
            <w:r w:rsidRPr="05D91D62">
              <w:rPr>
                <w:rFonts w:ascii="Arial" w:eastAsia="Arial" w:hAnsi="Arial" w:cs="Arial"/>
                <w:color w:val="000000" w:themeColor="text1"/>
                <w:szCs w:val="24"/>
              </w:rPr>
              <w:t xml:space="preserve">● the correct procedure for sampling from an arterial line </w:t>
            </w:r>
          </w:p>
          <w:p w14:paraId="258B65AA" w14:textId="0B8B9901" w:rsidR="008A3C0F" w:rsidRDefault="5417551F" w:rsidP="05D91D62">
            <w:pPr>
              <w:rPr>
                <w:rFonts w:ascii="Arial" w:eastAsia="Arial" w:hAnsi="Arial" w:cs="Arial"/>
                <w:szCs w:val="24"/>
              </w:rPr>
            </w:pPr>
            <w:r w:rsidRPr="05D91D62">
              <w:rPr>
                <w:rFonts w:ascii="Arial" w:eastAsia="Arial" w:hAnsi="Arial" w:cs="Arial"/>
                <w:color w:val="000000" w:themeColor="text1"/>
                <w:szCs w:val="24"/>
              </w:rPr>
              <w:t xml:space="preserve">● how to mitigate complications / harm arising from use of arterial lines </w:t>
            </w:r>
          </w:p>
          <w:p w14:paraId="4CDFAEF3" w14:textId="69C1D5BA" w:rsidR="008A3C0F" w:rsidRDefault="5417551F" w:rsidP="05D91D62">
            <w:pPr>
              <w:rPr>
                <w:rFonts w:ascii="Arial" w:eastAsia="Arial" w:hAnsi="Arial" w:cs="Arial"/>
                <w:szCs w:val="24"/>
              </w:rPr>
            </w:pPr>
            <w:r w:rsidRPr="05D91D62">
              <w:rPr>
                <w:rFonts w:ascii="Arial" w:eastAsia="Arial" w:hAnsi="Arial" w:cs="Arial"/>
                <w:color w:val="000000" w:themeColor="text1"/>
                <w:szCs w:val="24"/>
              </w:rPr>
              <w:t>● how to troubleshoot potential problems with arterial blood pressure monitoring</w:t>
            </w:r>
          </w:p>
          <w:p w14:paraId="428388E4" w14:textId="6AC2C3D5" w:rsidR="008A3C0F" w:rsidRPr="00762ABB" w:rsidRDefault="008A3C0F" w:rsidP="514B9105">
            <w:pPr>
              <w:rPr>
                <w:sz w:val="20"/>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5D99D0B7" w14:textId="491804D0" w:rsidR="00AA42E6" w:rsidRPr="00286904" w:rsidRDefault="239304FE" w:rsidP="05D91D62">
            <w:pPr>
              <w:rPr>
                <w:rFonts w:ascii="Arial" w:hAnsi="Arial" w:cs="Arial"/>
                <w:b/>
                <w:bCs/>
                <w:i/>
                <w:iCs/>
              </w:rPr>
            </w:pPr>
            <w:r w:rsidRPr="05D91D62">
              <w:rPr>
                <w:rFonts w:ascii="Arial" w:hAnsi="Arial" w:cs="Arial"/>
                <w:b/>
                <w:bCs/>
                <w:i/>
                <w:iCs/>
              </w:rPr>
              <w:t xml:space="preserve">Screened out </w:t>
            </w:r>
          </w:p>
        </w:tc>
      </w:tr>
      <w:tr w:rsidR="00626AA7" w:rsidRPr="00286904" w14:paraId="238601FE"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F3CABC7" w14:textId="04E764B0" w:rsidR="00626AA7" w:rsidRPr="00286904" w:rsidRDefault="00626AA7" w:rsidP="0071238B">
            <w:pPr>
              <w:rPr>
                <w:rFonts w:ascii="Arial" w:hAnsi="Arial" w:cs="Arial"/>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B08B5D1" w14:textId="77777777" w:rsidR="00626AA7" w:rsidRPr="00286904" w:rsidRDefault="00626AA7" w:rsidP="514B9105">
            <w:pPr>
              <w:rPr>
                <w:rFonts w:ascii="Arial" w:hAnsi="Arial" w:cs="Arial"/>
                <w:i/>
                <w:iCs/>
                <w:highlight w:val="yellow"/>
              </w:rPr>
            </w:pPr>
          </w:p>
        </w:tc>
      </w:tr>
      <w:tr w:rsidR="00626AA7" w:rsidRPr="00286904" w14:paraId="43C3BC8D"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254F9EED" w14:textId="7CF49034" w:rsidR="00751404" w:rsidRPr="00F43E9E" w:rsidRDefault="3444E96B" w:rsidP="05D91D62">
            <w:pPr>
              <w:pStyle w:val="NoSpacing"/>
              <w:rPr>
                <w:rFonts w:cs="Arial"/>
                <w:b/>
                <w:bCs/>
                <w:color w:val="000000"/>
              </w:rPr>
            </w:pPr>
            <w:r w:rsidRPr="05D91D62">
              <w:rPr>
                <w:rFonts w:cs="Arial"/>
                <w:b/>
                <w:bCs/>
                <w:color w:val="000000" w:themeColor="text1"/>
              </w:rPr>
              <w:lastRenderedPageBreak/>
              <w:t>2</w:t>
            </w:r>
            <w:r w:rsidR="3A4F45FE" w:rsidRPr="05D91D62">
              <w:rPr>
                <w:rFonts w:cs="Arial"/>
                <w:b/>
                <w:bCs/>
                <w:color w:val="000000" w:themeColor="text1"/>
              </w:rPr>
              <w:t>7/01/2025</w:t>
            </w:r>
          </w:p>
          <w:p w14:paraId="16DEB4AB" w14:textId="77777777" w:rsidR="00751404" w:rsidRDefault="00751404" w:rsidP="261FFAD5">
            <w:pPr>
              <w:pStyle w:val="NoSpacing"/>
              <w:rPr>
                <w:rFonts w:cs="Arial"/>
                <w:color w:val="000000"/>
                <w:highlight w:val="yellow"/>
              </w:rPr>
            </w:pPr>
          </w:p>
          <w:p w14:paraId="0AD9C6F4" w14:textId="605D7731" w:rsidR="00751404" w:rsidRPr="00F43E9E" w:rsidRDefault="00587207" w:rsidP="05D91D62">
            <w:pPr>
              <w:rPr>
                <w:rFonts w:ascii="Arial" w:hAnsi="Arial" w:cs="Arial"/>
                <w:u w:val="single"/>
              </w:rPr>
            </w:pPr>
            <w:hyperlink r:id="rId25" w:history="1">
              <w:r w:rsidR="3A4F45FE" w:rsidRPr="00587207">
                <w:rPr>
                  <w:rStyle w:val="Hyperlink"/>
                  <w:rFonts w:ascii="Arial" w:hAnsi="Arial" w:cs="Arial"/>
                </w:rPr>
                <w:t>Injectable Medicines Guideli</w:t>
              </w:r>
              <w:r w:rsidR="3A4F45FE" w:rsidRPr="00587207">
                <w:rPr>
                  <w:rStyle w:val="Hyperlink"/>
                  <w:rFonts w:ascii="Arial" w:hAnsi="Arial" w:cs="Arial"/>
                </w:rPr>
                <w:t>ne policy</w:t>
              </w:r>
            </w:hyperlink>
          </w:p>
          <w:p w14:paraId="5FE5BF7A" w14:textId="77777777" w:rsidR="00F43E9E" w:rsidRDefault="00F43E9E" w:rsidP="261FFAD5">
            <w:pPr>
              <w:pStyle w:val="NoSpacing"/>
              <w:rPr>
                <w:rFonts w:cs="Arial"/>
                <w:b/>
                <w:bCs/>
                <w:color w:val="000000"/>
                <w:highlight w:val="yellow"/>
              </w:rPr>
            </w:pPr>
          </w:p>
          <w:p w14:paraId="3D43D36E" w14:textId="297B966E" w:rsidR="00751404" w:rsidRDefault="31BBA5AA" w:rsidP="05D91D62">
            <w:pPr>
              <w:rPr>
                <w:rFonts w:ascii="Arial" w:hAnsi="Arial" w:cs="Arial"/>
                <w:b/>
                <w:bCs/>
              </w:rPr>
            </w:pPr>
            <w:r w:rsidRPr="05D91D62">
              <w:rPr>
                <w:rFonts w:ascii="Arial" w:hAnsi="Arial" w:cs="Arial"/>
                <w:b/>
                <w:bCs/>
              </w:rPr>
              <w:t xml:space="preserve">Purpose:  </w:t>
            </w:r>
          </w:p>
          <w:p w14:paraId="65F9C3DC" w14:textId="0B963296" w:rsidR="008A3C0F" w:rsidRPr="00751404" w:rsidRDefault="190DC30A" w:rsidP="05D91D62">
            <w:pPr>
              <w:rPr>
                <w:rFonts w:ascii="Arial" w:eastAsia="Arial" w:hAnsi="Arial" w:cs="Arial"/>
                <w:szCs w:val="24"/>
              </w:rPr>
            </w:pPr>
            <w:r w:rsidRPr="05D91D62">
              <w:rPr>
                <w:rFonts w:ascii="Arial" w:eastAsia="Arial" w:hAnsi="Arial" w:cs="Arial"/>
                <w:color w:val="000000" w:themeColor="text1"/>
                <w:szCs w:val="24"/>
              </w:rPr>
              <w:t xml:space="preserve">The Injectable Medicines Guide Policy endorses the use of the UK resource - NHS Medusa Injectable Medicines Guide (IMG) as the most accessible resource that contains information to support safe administration of injectable medicines for both adult and paediatric patients in clinical practice. The Guide includes </w:t>
            </w:r>
            <w:proofErr w:type="spellStart"/>
            <w:r w:rsidRPr="05D91D62">
              <w:rPr>
                <w:rFonts w:ascii="Arial" w:eastAsia="Arial" w:hAnsi="Arial" w:cs="Arial"/>
                <w:color w:val="000000" w:themeColor="text1"/>
                <w:szCs w:val="24"/>
              </w:rPr>
              <w:t>intraVENOUS</w:t>
            </w:r>
            <w:proofErr w:type="spellEnd"/>
            <w:r w:rsidRPr="05D91D62">
              <w:rPr>
                <w:rFonts w:ascii="Arial" w:eastAsia="Arial" w:hAnsi="Arial" w:cs="Arial"/>
                <w:color w:val="000000" w:themeColor="text1"/>
                <w:szCs w:val="24"/>
              </w:rPr>
              <w:t xml:space="preserve">, </w:t>
            </w:r>
            <w:proofErr w:type="spellStart"/>
            <w:r w:rsidRPr="05D91D62">
              <w:rPr>
                <w:rFonts w:ascii="Arial" w:eastAsia="Arial" w:hAnsi="Arial" w:cs="Arial"/>
                <w:color w:val="000000" w:themeColor="text1"/>
                <w:szCs w:val="24"/>
              </w:rPr>
              <w:t>intraMUSCULAR</w:t>
            </w:r>
            <w:proofErr w:type="spellEnd"/>
            <w:r w:rsidRPr="05D91D62">
              <w:rPr>
                <w:rFonts w:ascii="Arial" w:eastAsia="Arial" w:hAnsi="Arial" w:cs="Arial"/>
                <w:color w:val="000000" w:themeColor="text1"/>
                <w:szCs w:val="24"/>
              </w:rPr>
              <w:t xml:space="preserve">, subcutaneous, </w:t>
            </w:r>
            <w:proofErr w:type="spellStart"/>
            <w:r w:rsidRPr="05D91D62">
              <w:rPr>
                <w:rFonts w:ascii="Arial" w:eastAsia="Arial" w:hAnsi="Arial" w:cs="Arial"/>
                <w:color w:val="000000" w:themeColor="text1"/>
                <w:szCs w:val="24"/>
              </w:rPr>
              <w:t>intraTHECAL</w:t>
            </w:r>
            <w:proofErr w:type="spellEnd"/>
            <w:r w:rsidRPr="05D91D62">
              <w:rPr>
                <w:rFonts w:ascii="Arial" w:eastAsia="Arial" w:hAnsi="Arial" w:cs="Arial"/>
                <w:color w:val="000000" w:themeColor="text1"/>
                <w:szCs w:val="24"/>
              </w:rPr>
              <w:t>, and ocular monographs.</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7462791B" w14:textId="09EDA3AA" w:rsidR="00626AA7" w:rsidRPr="00F43E9E" w:rsidRDefault="31BBA5AA" w:rsidP="05D91D62">
            <w:pPr>
              <w:rPr>
                <w:rFonts w:ascii="Arial" w:hAnsi="Arial" w:cs="Arial"/>
                <w:b/>
                <w:bCs/>
                <w:i/>
                <w:iCs/>
              </w:rPr>
            </w:pPr>
            <w:r w:rsidRPr="05D91D62">
              <w:rPr>
                <w:rFonts w:ascii="Arial" w:hAnsi="Arial" w:cs="Arial"/>
                <w:b/>
                <w:bCs/>
                <w:i/>
                <w:iCs/>
              </w:rPr>
              <w:t xml:space="preserve">Screened out </w:t>
            </w:r>
          </w:p>
        </w:tc>
      </w:tr>
      <w:tr w:rsidR="00213174" w:rsidRPr="00286904" w14:paraId="5023141B"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F3B1409" w14:textId="77777777" w:rsidR="00213174" w:rsidRPr="00286904" w:rsidRDefault="00213174" w:rsidP="0071238B">
            <w:pPr>
              <w:rPr>
                <w:rFonts w:ascii="Arial" w:hAnsi="Arial" w:cs="Arial"/>
                <w:b/>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562C75D1" w14:textId="77777777" w:rsidR="00213174" w:rsidRPr="00F43E9E" w:rsidRDefault="00213174" w:rsidP="0071238B">
            <w:pPr>
              <w:rPr>
                <w:rFonts w:ascii="Arial" w:hAnsi="Arial" w:cs="Arial"/>
                <w:b/>
                <w:i/>
                <w:szCs w:val="24"/>
              </w:rPr>
            </w:pPr>
          </w:p>
        </w:tc>
      </w:tr>
      <w:tr w:rsidR="00F43E9E" w:rsidRPr="00286904" w14:paraId="29300DC9"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123F0B0C" w14:textId="7361CEAA" w:rsidR="00F43E9E" w:rsidRPr="00F43E9E" w:rsidRDefault="049CDE1C" w:rsidP="05D91D62">
            <w:pPr>
              <w:pStyle w:val="NoSpacing"/>
              <w:rPr>
                <w:rFonts w:cs="Arial"/>
                <w:b/>
                <w:bCs/>
                <w:color w:val="000000"/>
              </w:rPr>
            </w:pPr>
            <w:r w:rsidRPr="05D91D62">
              <w:rPr>
                <w:rFonts w:cs="Arial"/>
                <w:b/>
                <w:bCs/>
                <w:color w:val="000000" w:themeColor="text1"/>
              </w:rPr>
              <w:t>28/01/2025</w:t>
            </w:r>
          </w:p>
          <w:p w14:paraId="44FCA87C" w14:textId="0FF7DE2A" w:rsidR="00F43E9E" w:rsidRDefault="00F43E9E" w:rsidP="05D91D62">
            <w:pPr>
              <w:pStyle w:val="NoSpacing"/>
              <w:rPr>
                <w:rFonts w:cs="Arial"/>
                <w:b/>
                <w:bCs/>
                <w:color w:val="000000" w:themeColor="text1"/>
              </w:rPr>
            </w:pPr>
          </w:p>
          <w:p w14:paraId="179797DD" w14:textId="30177680" w:rsidR="00F43E9E" w:rsidRDefault="00587207" w:rsidP="05D91D62">
            <w:pPr>
              <w:pStyle w:val="NoSpacing"/>
              <w:rPr>
                <w:rFonts w:cs="Arial"/>
                <w:color w:val="000000"/>
                <w:u w:val="single"/>
              </w:rPr>
            </w:pPr>
            <w:hyperlink r:id="rId26" w:history="1">
              <w:proofErr w:type="spellStart"/>
              <w:r w:rsidR="05C4D25C" w:rsidRPr="00587207">
                <w:rPr>
                  <w:rStyle w:val="Hyperlink"/>
                  <w:rFonts w:cs="Arial"/>
                </w:rPr>
                <w:t>Mangement</w:t>
              </w:r>
              <w:proofErr w:type="spellEnd"/>
              <w:r w:rsidR="05C4D25C" w:rsidRPr="00587207">
                <w:rPr>
                  <w:rStyle w:val="Hyperlink"/>
                  <w:rFonts w:cs="Arial"/>
                </w:rPr>
                <w:t xml:space="preserve"> of Adult patients receiving subcutaneous fluids </w:t>
              </w:r>
              <w:r w:rsidR="606DBC1E" w:rsidRPr="00587207">
                <w:rPr>
                  <w:rStyle w:val="Hyperlink"/>
                  <w:rFonts w:cs="Arial"/>
                </w:rPr>
                <w:t>within</w:t>
              </w:r>
              <w:r w:rsidR="05C4D25C" w:rsidRPr="00587207">
                <w:rPr>
                  <w:rStyle w:val="Hyperlink"/>
                  <w:rFonts w:cs="Arial"/>
                </w:rPr>
                <w:t xml:space="preserve"> in a c</w:t>
              </w:r>
              <w:r w:rsidR="05C4D25C" w:rsidRPr="00587207">
                <w:rPr>
                  <w:rStyle w:val="Hyperlink"/>
                  <w:rFonts w:cs="Arial"/>
                </w:rPr>
                <w:t>ommunity Setting</w:t>
              </w:r>
            </w:hyperlink>
          </w:p>
          <w:p w14:paraId="63F34860" w14:textId="77777777" w:rsidR="00F43E9E" w:rsidRDefault="00F43E9E" w:rsidP="00F43E9E">
            <w:pPr>
              <w:pStyle w:val="NoSpacing"/>
              <w:rPr>
                <w:rFonts w:cs="Arial"/>
                <w:b/>
                <w:bCs/>
                <w:color w:val="000000"/>
                <w:highlight w:val="yellow"/>
              </w:rPr>
            </w:pPr>
          </w:p>
          <w:p w14:paraId="072C8982" w14:textId="31AE1F0C" w:rsidR="00F43E9E" w:rsidRDefault="3444E96B" w:rsidP="05D91D62">
            <w:pPr>
              <w:rPr>
                <w:rFonts w:ascii="Arial" w:hAnsi="Arial" w:cs="Arial"/>
                <w:b/>
                <w:bCs/>
              </w:rPr>
            </w:pPr>
            <w:r w:rsidRPr="05D91D62">
              <w:rPr>
                <w:rFonts w:ascii="Arial" w:hAnsi="Arial" w:cs="Arial"/>
                <w:b/>
                <w:bCs/>
              </w:rPr>
              <w:t>Purpose:</w:t>
            </w:r>
          </w:p>
          <w:p w14:paraId="52167864" w14:textId="67FCBC95" w:rsidR="008A3C0F" w:rsidRPr="008A3C0F" w:rsidRDefault="3060F0B4" w:rsidP="05D91D62">
            <w:pPr>
              <w:rPr>
                <w:rFonts w:ascii="Arial" w:eastAsia="Arial" w:hAnsi="Arial" w:cs="Arial"/>
                <w:szCs w:val="24"/>
              </w:rPr>
            </w:pPr>
            <w:r w:rsidRPr="0C87AC94">
              <w:rPr>
                <w:rFonts w:ascii="Arial" w:eastAsia="Arial" w:hAnsi="Arial" w:cs="Arial"/>
                <w:color w:val="000000" w:themeColor="text1"/>
                <w:szCs w:val="24"/>
              </w:rPr>
              <w:t xml:space="preserve">The aim of this policy is to provide community registered nurses with </w:t>
            </w:r>
            <w:r w:rsidR="456284A5" w:rsidRPr="0C87AC94">
              <w:rPr>
                <w:rFonts w:ascii="Arial" w:eastAsia="Arial" w:hAnsi="Arial" w:cs="Arial"/>
                <w:color w:val="000000" w:themeColor="text1"/>
                <w:szCs w:val="24"/>
              </w:rPr>
              <w:t>evidence-based</w:t>
            </w:r>
            <w:r w:rsidRPr="0C87AC94">
              <w:rPr>
                <w:rFonts w:ascii="Arial" w:eastAsia="Arial" w:hAnsi="Arial" w:cs="Arial"/>
                <w:color w:val="000000" w:themeColor="text1"/>
                <w:szCs w:val="24"/>
              </w:rPr>
              <w:t xml:space="preserve"> guidance to ensure that patients receive safe, effective and appropriate treatment when receiving subcutaneous fluids within a community setting.</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431574D6" w14:textId="2D408FB1" w:rsidR="00F43E9E" w:rsidRPr="00F43E9E" w:rsidRDefault="3444E96B" w:rsidP="05D91D62">
            <w:pPr>
              <w:rPr>
                <w:rFonts w:ascii="Arial" w:hAnsi="Arial" w:cs="Arial"/>
                <w:b/>
                <w:bCs/>
                <w:i/>
                <w:iCs/>
              </w:rPr>
            </w:pPr>
            <w:r w:rsidRPr="05D91D62">
              <w:rPr>
                <w:rFonts w:ascii="Arial" w:hAnsi="Arial" w:cs="Arial"/>
                <w:b/>
                <w:bCs/>
                <w:i/>
                <w:iCs/>
              </w:rPr>
              <w:t xml:space="preserve">Screened out </w:t>
            </w:r>
          </w:p>
        </w:tc>
      </w:tr>
      <w:tr w:rsidR="00F43E9E" w:rsidRPr="00286904" w14:paraId="402F365B"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187D0D6" w14:textId="0687B1B1" w:rsidR="00F43E9E" w:rsidRPr="00F43E9E" w:rsidRDefault="00F43E9E"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02638D45" w14:textId="441C236C" w:rsidR="00F43E9E" w:rsidRPr="00F43E9E" w:rsidRDefault="00F43E9E" w:rsidP="514B9105">
            <w:pPr>
              <w:rPr>
                <w:rFonts w:ascii="Arial" w:hAnsi="Arial" w:cs="Arial"/>
                <w:b/>
                <w:bCs/>
                <w:i/>
                <w:iCs/>
                <w:highlight w:val="yellow"/>
              </w:rPr>
            </w:pPr>
          </w:p>
        </w:tc>
      </w:tr>
      <w:tr w:rsidR="008A3C0F" w:rsidRPr="00286904" w14:paraId="01F4CE27"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09E56D4B" w14:textId="12C0EBC9" w:rsidR="008A3C0F" w:rsidRPr="008A3C0F" w:rsidRDefault="6F75E8BE" w:rsidP="05D91D62">
            <w:pPr>
              <w:pStyle w:val="NoSpacing"/>
              <w:rPr>
                <w:rFonts w:cs="Arial"/>
                <w:b/>
                <w:bCs/>
                <w:color w:val="000000" w:themeColor="text1"/>
              </w:rPr>
            </w:pPr>
            <w:r w:rsidRPr="05D91D62">
              <w:rPr>
                <w:rFonts w:cs="Arial"/>
                <w:b/>
                <w:bCs/>
                <w:color w:val="000000" w:themeColor="text1"/>
              </w:rPr>
              <w:t>29/01/2025</w:t>
            </w:r>
          </w:p>
          <w:p w14:paraId="419E99E8" w14:textId="77777777" w:rsidR="008A3C0F" w:rsidRDefault="008A3C0F" w:rsidP="008A3C0F">
            <w:pPr>
              <w:pStyle w:val="NoSpacing"/>
              <w:rPr>
                <w:rFonts w:cs="Arial"/>
                <w:color w:val="000000"/>
                <w:highlight w:val="yellow"/>
              </w:rPr>
            </w:pPr>
          </w:p>
          <w:p w14:paraId="7C8333F1" w14:textId="319518F8" w:rsidR="008A3C0F" w:rsidRPr="00F43E9E" w:rsidRDefault="00587207" w:rsidP="05D91D62">
            <w:pPr>
              <w:rPr>
                <w:rFonts w:ascii="Arial" w:hAnsi="Arial" w:cs="Arial"/>
                <w:highlight w:val="yellow"/>
                <w:u w:val="single"/>
              </w:rPr>
            </w:pPr>
            <w:hyperlink r:id="rId27" w:history="1">
              <w:r w:rsidR="4366BEEA" w:rsidRPr="00587207">
                <w:rPr>
                  <w:rStyle w:val="Hyperlink"/>
                  <w:rFonts w:ascii="Arial" w:hAnsi="Arial" w:cs="Arial"/>
                </w:rPr>
                <w:t xml:space="preserve">Policy for the Safe Use of Oral and </w:t>
              </w:r>
              <w:r w:rsidR="6D16C868" w:rsidRPr="00587207">
                <w:rPr>
                  <w:rStyle w:val="Hyperlink"/>
                  <w:rFonts w:ascii="Arial" w:hAnsi="Arial" w:cs="Arial"/>
                </w:rPr>
                <w:t>Subcutaneous Methotrexate in Non- Cancer Conditi</w:t>
              </w:r>
              <w:r w:rsidR="6D16C868" w:rsidRPr="00587207">
                <w:rPr>
                  <w:rStyle w:val="Hyperlink"/>
                  <w:rFonts w:ascii="Arial" w:hAnsi="Arial" w:cs="Arial"/>
                </w:rPr>
                <w:t>ons</w:t>
              </w:r>
            </w:hyperlink>
            <w:r w:rsidR="6D16C868" w:rsidRPr="05D91D62">
              <w:rPr>
                <w:rFonts w:ascii="Arial" w:hAnsi="Arial" w:cs="Arial"/>
                <w:u w:val="single"/>
              </w:rPr>
              <w:t xml:space="preserve"> </w:t>
            </w:r>
          </w:p>
          <w:p w14:paraId="506C9C83" w14:textId="77777777" w:rsidR="008A3C0F" w:rsidRDefault="008A3C0F" w:rsidP="008A3C0F">
            <w:pPr>
              <w:pStyle w:val="NoSpacing"/>
              <w:rPr>
                <w:rFonts w:cs="Arial"/>
                <w:b/>
                <w:bCs/>
                <w:color w:val="000000"/>
                <w:highlight w:val="yellow"/>
              </w:rPr>
            </w:pPr>
          </w:p>
          <w:p w14:paraId="71BD2015" w14:textId="73BE75C7" w:rsidR="008A3C0F" w:rsidRDefault="78CFAD83" w:rsidP="05D91D62">
            <w:pPr>
              <w:rPr>
                <w:rFonts w:ascii="Arial" w:hAnsi="Arial" w:cs="Arial"/>
                <w:b/>
                <w:bCs/>
              </w:rPr>
            </w:pPr>
            <w:r w:rsidRPr="05D91D62">
              <w:rPr>
                <w:rFonts w:ascii="Arial" w:hAnsi="Arial" w:cs="Arial"/>
                <w:b/>
                <w:bCs/>
              </w:rPr>
              <w:t>Purpose:</w:t>
            </w:r>
          </w:p>
          <w:p w14:paraId="55785819" w14:textId="00139A95" w:rsidR="008A3C0F" w:rsidRDefault="09B9A61A" w:rsidP="05D91D62">
            <w:pPr>
              <w:rPr>
                <w:rFonts w:ascii="Arial" w:eastAsia="Arial" w:hAnsi="Arial" w:cs="Arial"/>
                <w:szCs w:val="24"/>
              </w:rPr>
            </w:pPr>
            <w:r w:rsidRPr="05D91D62">
              <w:rPr>
                <w:rFonts w:ascii="Arial" w:eastAsia="Arial" w:hAnsi="Arial" w:cs="Arial"/>
                <w:color w:val="000000" w:themeColor="text1"/>
                <w:szCs w:val="24"/>
              </w:rPr>
              <w:t xml:space="preserve">Methotrexate is a folic acid antagonist and is classed as an antimetabolite cytotoxic immunosuppressant agent. It is indicated for the treatment of cancers such as </w:t>
            </w:r>
            <w:proofErr w:type="spellStart"/>
            <w:r w:rsidRPr="05D91D62">
              <w:rPr>
                <w:rFonts w:ascii="Arial" w:eastAsia="Arial" w:hAnsi="Arial" w:cs="Arial"/>
                <w:color w:val="000000" w:themeColor="text1"/>
                <w:szCs w:val="24"/>
              </w:rPr>
              <w:t>leukaemias</w:t>
            </w:r>
            <w:proofErr w:type="spellEnd"/>
            <w:r w:rsidRPr="05D91D62">
              <w:rPr>
                <w:rFonts w:ascii="Arial" w:eastAsia="Arial" w:hAnsi="Arial" w:cs="Arial"/>
                <w:color w:val="000000" w:themeColor="text1"/>
                <w:szCs w:val="24"/>
              </w:rPr>
              <w:t xml:space="preserve">, lymphomas and a number of solid tumours. It is also used to treat non-malignant conditions such as rheumatoid arthritis, </w:t>
            </w:r>
            <w:proofErr w:type="spellStart"/>
            <w:r w:rsidRPr="05D91D62">
              <w:rPr>
                <w:rFonts w:ascii="Arial" w:eastAsia="Arial" w:hAnsi="Arial" w:cs="Arial"/>
                <w:color w:val="000000" w:themeColor="text1"/>
                <w:szCs w:val="24"/>
              </w:rPr>
              <w:t>crohn’s</w:t>
            </w:r>
            <w:proofErr w:type="spellEnd"/>
            <w:r w:rsidRPr="05D91D62">
              <w:rPr>
                <w:rFonts w:ascii="Arial" w:eastAsia="Arial" w:hAnsi="Arial" w:cs="Arial"/>
                <w:color w:val="000000" w:themeColor="text1"/>
                <w:szCs w:val="24"/>
              </w:rPr>
              <w:t xml:space="preserve"> disease and severe psoriasis unresponsive or intolerant to conventional therapy. </w:t>
            </w:r>
            <w:r w:rsidRPr="05D91D62">
              <w:rPr>
                <w:rFonts w:ascii="Arial" w:eastAsia="Arial" w:hAnsi="Arial" w:cs="Arial"/>
                <w:szCs w:val="24"/>
              </w:rPr>
              <w:t xml:space="preserve"> </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04D88862" w14:textId="17920280" w:rsidR="008A3C0F" w:rsidRDefault="78CFAD83" w:rsidP="05D91D62">
            <w:pPr>
              <w:rPr>
                <w:rFonts w:ascii="Arial" w:hAnsi="Arial" w:cs="Arial"/>
                <w:b/>
                <w:bCs/>
                <w:i/>
                <w:iCs/>
              </w:rPr>
            </w:pPr>
            <w:r w:rsidRPr="05D91D62">
              <w:rPr>
                <w:rFonts w:ascii="Arial" w:hAnsi="Arial" w:cs="Arial"/>
                <w:b/>
                <w:bCs/>
                <w:i/>
                <w:iCs/>
              </w:rPr>
              <w:t xml:space="preserve">Screened out </w:t>
            </w:r>
          </w:p>
        </w:tc>
      </w:tr>
      <w:tr w:rsidR="008A3C0F" w:rsidRPr="00286904" w14:paraId="4088A879"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F9C7048" w14:textId="304709A4" w:rsidR="008A3C0F" w:rsidRDefault="008A3C0F"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F8C32E0" w14:textId="6CFFE6D2" w:rsidR="008A3C0F" w:rsidRDefault="008A3C0F" w:rsidP="514B9105">
            <w:pPr>
              <w:rPr>
                <w:rFonts w:ascii="Arial" w:hAnsi="Arial" w:cs="Arial"/>
                <w:b/>
                <w:bCs/>
                <w:i/>
                <w:iCs/>
                <w:highlight w:val="yellow"/>
              </w:rPr>
            </w:pPr>
          </w:p>
        </w:tc>
      </w:tr>
      <w:tr w:rsidR="008A3C0F" w:rsidRPr="00286904" w14:paraId="24A7744D"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4827E01D" w14:textId="3FFFEBA3" w:rsidR="008A3C0F" w:rsidRPr="008A3C0F" w:rsidRDefault="78CFAD83" w:rsidP="05D91D62">
            <w:pPr>
              <w:pStyle w:val="NoSpacing"/>
              <w:rPr>
                <w:rFonts w:cs="Arial"/>
                <w:b/>
                <w:bCs/>
                <w:color w:val="000000" w:themeColor="text1"/>
              </w:rPr>
            </w:pPr>
            <w:r w:rsidRPr="05D91D62">
              <w:rPr>
                <w:rFonts w:cs="Arial"/>
                <w:b/>
                <w:bCs/>
                <w:color w:val="000000" w:themeColor="text1"/>
              </w:rPr>
              <w:lastRenderedPageBreak/>
              <w:t>2</w:t>
            </w:r>
            <w:r w:rsidR="673DF385" w:rsidRPr="05D91D62">
              <w:rPr>
                <w:rFonts w:cs="Arial"/>
                <w:b/>
                <w:bCs/>
                <w:color w:val="000000" w:themeColor="text1"/>
              </w:rPr>
              <w:t>0/02/2025</w:t>
            </w:r>
          </w:p>
          <w:p w14:paraId="3CCD8915" w14:textId="77777777" w:rsidR="008A3C0F" w:rsidRPr="008A3C0F" w:rsidRDefault="008A3C0F" w:rsidP="008A3C0F">
            <w:pPr>
              <w:pStyle w:val="NoSpacing"/>
              <w:rPr>
                <w:rFonts w:cs="Arial"/>
                <w:color w:val="000000"/>
                <w:highlight w:val="yellow"/>
              </w:rPr>
            </w:pPr>
          </w:p>
          <w:p w14:paraId="3410CE96" w14:textId="746FCF04" w:rsidR="008A3C0F" w:rsidRPr="008A3C0F" w:rsidRDefault="00104D85" w:rsidP="0C87AC94">
            <w:pPr>
              <w:rPr>
                <w:rFonts w:ascii="Arial" w:hAnsi="Arial" w:cs="Arial"/>
                <w:color w:val="000000" w:themeColor="text1"/>
                <w:u w:val="single"/>
              </w:rPr>
            </w:pPr>
            <w:hyperlink r:id="rId28" w:history="1">
              <w:r w:rsidR="56029185" w:rsidRPr="00104D85">
                <w:rPr>
                  <w:rStyle w:val="Hyperlink"/>
                  <w:rFonts w:ascii="Arial" w:hAnsi="Arial" w:cs="Arial"/>
                </w:rPr>
                <w:t>Employer’s Procedures for Diagnostic a</w:t>
              </w:r>
              <w:r w:rsidR="4C7B3EC2" w:rsidRPr="00104D85">
                <w:rPr>
                  <w:rStyle w:val="Hyperlink"/>
                  <w:rFonts w:ascii="Arial" w:hAnsi="Arial" w:cs="Arial"/>
                </w:rPr>
                <w:t>nd Therapeutic Uses of Unsealed Radioac</w:t>
              </w:r>
              <w:r w:rsidR="4C7B3EC2" w:rsidRPr="00104D85">
                <w:rPr>
                  <w:rStyle w:val="Hyperlink"/>
                  <w:rFonts w:ascii="Arial" w:hAnsi="Arial" w:cs="Arial"/>
                </w:rPr>
                <w:t>tive Materials</w:t>
              </w:r>
            </w:hyperlink>
            <w:r w:rsidR="4C7B3EC2" w:rsidRPr="0C87AC94">
              <w:rPr>
                <w:rFonts w:ascii="Arial" w:hAnsi="Arial" w:cs="Arial"/>
                <w:color w:val="000000" w:themeColor="text1"/>
                <w:u w:val="single"/>
              </w:rPr>
              <w:t xml:space="preserve"> </w:t>
            </w:r>
          </w:p>
          <w:p w14:paraId="03D20FD0" w14:textId="77777777" w:rsidR="008A3C0F" w:rsidRPr="008A3C0F" w:rsidRDefault="008A3C0F" w:rsidP="0C87AC94">
            <w:pPr>
              <w:pStyle w:val="NoSpacing"/>
              <w:rPr>
                <w:rFonts w:cs="Arial"/>
                <w:b/>
                <w:bCs/>
                <w:color w:val="000000"/>
              </w:rPr>
            </w:pPr>
          </w:p>
          <w:p w14:paraId="2CB53E55" w14:textId="77777777" w:rsidR="008A3C0F" w:rsidRPr="008A3C0F" w:rsidRDefault="77F7FB59" w:rsidP="0C87AC94">
            <w:pPr>
              <w:rPr>
                <w:rFonts w:ascii="Arial" w:hAnsi="Arial" w:cs="Arial"/>
                <w:b/>
                <w:bCs/>
              </w:rPr>
            </w:pPr>
            <w:r w:rsidRPr="0C87AC94">
              <w:rPr>
                <w:rFonts w:ascii="Arial" w:hAnsi="Arial" w:cs="Arial"/>
                <w:b/>
                <w:bCs/>
              </w:rPr>
              <w:t>Purpose:</w:t>
            </w:r>
          </w:p>
          <w:p w14:paraId="1961E8F6" w14:textId="3A6073C4" w:rsidR="008A3C0F" w:rsidRDefault="771DD1DF" w:rsidP="0C87AC94">
            <w:pPr>
              <w:rPr>
                <w:rFonts w:ascii="Arial" w:hAnsi="Arial" w:cs="Arial"/>
                <w:b/>
                <w:bCs/>
              </w:rPr>
            </w:pPr>
            <w:r w:rsidRPr="0C87AC94">
              <w:rPr>
                <w:rFonts w:ascii="Arial" w:eastAsia="Arial" w:hAnsi="Arial" w:cs="Arial"/>
                <w:color w:val="000000" w:themeColor="text1"/>
                <w:szCs w:val="24"/>
              </w:rPr>
              <w:t>The Ionising Radiation (Medical Exposure</w:t>
            </w:r>
            <w:proofErr w:type="gramStart"/>
            <w:r w:rsidRPr="0C87AC94">
              <w:rPr>
                <w:rFonts w:ascii="Arial" w:eastAsia="Arial" w:hAnsi="Arial" w:cs="Arial"/>
                <w:color w:val="000000" w:themeColor="text1"/>
                <w:szCs w:val="24"/>
              </w:rPr>
              <w:t>)</w:t>
            </w:r>
            <w:r w:rsidR="6BAF2B85" w:rsidRPr="0C87AC94">
              <w:rPr>
                <w:rFonts w:ascii="Arial" w:eastAsia="Arial" w:hAnsi="Arial" w:cs="Arial"/>
                <w:color w:val="000000" w:themeColor="text1"/>
                <w:szCs w:val="24"/>
              </w:rPr>
              <w:t>an</w:t>
            </w:r>
            <w:proofErr w:type="gramEnd"/>
            <w:r w:rsidRPr="0C87AC94">
              <w:rPr>
                <w:rFonts w:ascii="Arial" w:eastAsia="Arial" w:hAnsi="Arial" w:cs="Arial"/>
                <w:color w:val="000000" w:themeColor="text1"/>
                <w:szCs w:val="24"/>
              </w:rPr>
              <w:t xml:space="preserve"> Regulations (Northern Ireland) 2018, hereafter</w:t>
            </w:r>
            <w:r w:rsidRPr="0C87AC94">
              <w:rPr>
                <w:rFonts w:ascii="Arial" w:eastAsia="Arial" w:hAnsi="Arial" w:cs="Arial"/>
                <w:color w:val="3366FF"/>
                <w:szCs w:val="24"/>
              </w:rPr>
              <w:t xml:space="preserve"> </w:t>
            </w:r>
            <w:r w:rsidRPr="0C87AC94">
              <w:rPr>
                <w:rFonts w:ascii="Arial" w:eastAsia="Arial" w:hAnsi="Arial" w:cs="Arial"/>
                <w:color w:val="000000" w:themeColor="text1"/>
                <w:szCs w:val="24"/>
              </w:rPr>
              <w:t xml:space="preserve">referred to as IR(ME)R, were introduced in February 2018.  The regulations lay down basic measures for the health protection of individuals against the dangers of ionising radiation in relation to medical exposure. </w:t>
            </w:r>
            <w:r w:rsidRPr="0C87AC94">
              <w:rPr>
                <w:rFonts w:ascii="Arial" w:eastAsia="Arial" w:hAnsi="Arial" w:cs="Arial"/>
                <w:szCs w:val="24"/>
              </w:rPr>
              <w:t xml:space="preserve"> </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5C32D1CC" w14:textId="702C011D" w:rsidR="008A3C0F" w:rsidRDefault="77F7FB59" w:rsidP="0C87AC94">
            <w:pPr>
              <w:rPr>
                <w:rFonts w:ascii="Arial" w:hAnsi="Arial" w:cs="Arial"/>
                <w:b/>
                <w:bCs/>
                <w:i/>
                <w:iCs/>
              </w:rPr>
            </w:pPr>
            <w:r w:rsidRPr="0C87AC94">
              <w:rPr>
                <w:rFonts w:ascii="Arial" w:hAnsi="Arial" w:cs="Arial"/>
                <w:b/>
                <w:bCs/>
                <w:i/>
                <w:iCs/>
              </w:rPr>
              <w:t xml:space="preserve">Screened out </w:t>
            </w:r>
          </w:p>
        </w:tc>
      </w:tr>
      <w:tr w:rsidR="008A3C0F" w:rsidRPr="00286904" w14:paraId="2E54616A"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19B45DCE" w14:textId="0FD0C5D7" w:rsidR="008A3C0F" w:rsidRDefault="008A3C0F" w:rsidP="008A3C0F">
            <w:pPr>
              <w:rPr>
                <w:rFonts w:ascii="Arial" w:hAnsi="Arial" w:cs="Arial"/>
                <w:b/>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377F6BB9" w14:textId="4364DF21" w:rsidR="008A3C0F" w:rsidRDefault="008A3C0F" w:rsidP="008A3C0F">
            <w:pPr>
              <w:rPr>
                <w:rFonts w:ascii="Arial" w:hAnsi="Arial" w:cs="Arial"/>
                <w:b/>
                <w:i/>
                <w:szCs w:val="24"/>
              </w:rPr>
            </w:pPr>
          </w:p>
        </w:tc>
      </w:tr>
      <w:tr w:rsidR="008A3C0F" w:rsidRPr="00286904" w14:paraId="6F23C46F"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260AE5E8" w14:textId="0DA08E49" w:rsidR="008A3C0F" w:rsidRPr="003E2EBF" w:rsidRDefault="77F7FB59" w:rsidP="0C87AC94">
            <w:pPr>
              <w:rPr>
                <w:rFonts w:ascii="Arial" w:hAnsi="Arial" w:cs="Arial"/>
                <w:b/>
                <w:bCs/>
                <w:color w:val="000000" w:themeColor="text1"/>
              </w:rPr>
            </w:pPr>
            <w:r w:rsidRPr="0C87AC94">
              <w:rPr>
                <w:rFonts w:ascii="Arial" w:hAnsi="Arial" w:cs="Arial"/>
                <w:b/>
                <w:bCs/>
                <w:color w:val="000000" w:themeColor="text1"/>
              </w:rPr>
              <w:t>2</w:t>
            </w:r>
            <w:r w:rsidR="5FDA1D6F" w:rsidRPr="0C87AC94">
              <w:rPr>
                <w:rFonts w:ascii="Arial" w:hAnsi="Arial" w:cs="Arial"/>
                <w:b/>
                <w:bCs/>
                <w:color w:val="000000" w:themeColor="text1"/>
              </w:rPr>
              <w:t>0/02/2025</w:t>
            </w:r>
          </w:p>
          <w:p w14:paraId="0B22C2C3" w14:textId="77777777" w:rsidR="008A3C0F" w:rsidRPr="008A3C0F" w:rsidRDefault="008A3C0F" w:rsidP="008A3C0F">
            <w:pPr>
              <w:pStyle w:val="NoSpacing"/>
              <w:rPr>
                <w:rFonts w:cs="Arial"/>
                <w:color w:val="000000"/>
                <w:highlight w:val="yellow"/>
              </w:rPr>
            </w:pPr>
          </w:p>
          <w:p w14:paraId="6DF8E10B" w14:textId="297FE4FE" w:rsidR="5FDA1D6F" w:rsidRDefault="00104D85" w:rsidP="0C87AC94">
            <w:pPr>
              <w:rPr>
                <w:rFonts w:ascii="Arial" w:eastAsia="Arial" w:hAnsi="Arial" w:cs="Arial"/>
                <w:szCs w:val="24"/>
                <w:u w:val="single"/>
              </w:rPr>
            </w:pPr>
            <w:hyperlink r:id="rId29" w:history="1">
              <w:r w:rsidR="5FDA1D6F" w:rsidRPr="00104D85">
                <w:rPr>
                  <w:rStyle w:val="Hyperlink"/>
                  <w:rFonts w:ascii="Arial" w:eastAsia="Arial" w:hAnsi="Arial" w:cs="Arial"/>
                  <w:szCs w:val="24"/>
                </w:rPr>
                <w:t>Policy for the Management of Ext</w:t>
              </w:r>
              <w:r w:rsidR="5FDA1D6F" w:rsidRPr="00104D85">
                <w:rPr>
                  <w:rStyle w:val="Hyperlink"/>
                  <w:rFonts w:ascii="Arial" w:eastAsia="Arial" w:hAnsi="Arial" w:cs="Arial"/>
                  <w:szCs w:val="24"/>
                </w:rPr>
                <w:t>ernal Guidance, including NICE Guidelines</w:t>
              </w:r>
            </w:hyperlink>
          </w:p>
          <w:p w14:paraId="56D1CF41" w14:textId="3155A3DD" w:rsidR="008A3C0F" w:rsidRPr="008A3C0F" w:rsidRDefault="008A3C0F" w:rsidP="0C87AC94">
            <w:pPr>
              <w:pStyle w:val="NoSpacing"/>
              <w:rPr>
                <w:rFonts w:cs="Arial"/>
                <w:highlight w:val="yellow"/>
              </w:rPr>
            </w:pPr>
          </w:p>
          <w:p w14:paraId="4A08CDC0" w14:textId="77777777" w:rsidR="008A3C0F" w:rsidRPr="008A3C0F" w:rsidRDefault="77F7FB59" w:rsidP="0C87AC94">
            <w:pPr>
              <w:rPr>
                <w:rFonts w:ascii="Arial" w:hAnsi="Arial" w:cs="Arial"/>
                <w:b/>
                <w:bCs/>
              </w:rPr>
            </w:pPr>
            <w:r w:rsidRPr="0C87AC94">
              <w:rPr>
                <w:rFonts w:ascii="Arial" w:hAnsi="Arial" w:cs="Arial"/>
                <w:b/>
                <w:bCs/>
              </w:rPr>
              <w:t>Purpose:</w:t>
            </w:r>
          </w:p>
          <w:p w14:paraId="4ECA101F" w14:textId="6C5B1BB1" w:rsidR="008A3C0F" w:rsidRPr="008A3C0F" w:rsidRDefault="39BD17BB" w:rsidP="0C87AC94">
            <w:pPr>
              <w:rPr>
                <w:rFonts w:ascii="Arial" w:eastAsia="Arial" w:hAnsi="Arial" w:cs="Arial"/>
                <w:szCs w:val="24"/>
              </w:rPr>
            </w:pPr>
            <w:r w:rsidRPr="0C87AC94">
              <w:rPr>
                <w:rFonts w:ascii="Arial" w:eastAsia="Arial" w:hAnsi="Arial" w:cs="Arial"/>
                <w:color w:val="000000" w:themeColor="text1"/>
                <w:szCs w:val="24"/>
              </w:rPr>
              <w:t xml:space="preserve">The Trust must ensure it has a robust process in place for the dissemination, tracking and monitoring of external guidance </w:t>
            </w:r>
            <w:proofErr w:type="spellStart"/>
            <w:r w:rsidRPr="0C87AC94">
              <w:rPr>
                <w:rFonts w:ascii="Arial" w:eastAsia="Arial" w:hAnsi="Arial" w:cs="Arial"/>
                <w:color w:val="000000" w:themeColor="text1"/>
                <w:szCs w:val="24"/>
              </w:rPr>
              <w:t>inc</w:t>
            </w:r>
            <w:proofErr w:type="spellEnd"/>
            <w:r w:rsidRPr="0C87AC94">
              <w:rPr>
                <w:rFonts w:ascii="Arial" w:eastAsia="Arial" w:hAnsi="Arial" w:cs="Arial"/>
                <w:color w:val="000000" w:themeColor="text1"/>
                <w:szCs w:val="24"/>
              </w:rPr>
              <w:t xml:space="preserve"> NICE Guidelines that are sent to the Standards &amp; Guidelines Dept. This mandatory process has been designed to ensure the Trust complies with corporate governance requirements. To ensure there are appropriate systems in place for ensuring that relevant staff receive the guidance and are informed of appropriate actions to be taken.</w:t>
            </w:r>
          </w:p>
          <w:p w14:paraId="2F11C23A" w14:textId="18C02252" w:rsidR="008A3C0F" w:rsidRDefault="008A3C0F"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5754E6B6" w14:textId="03FFFCA3" w:rsidR="008A3C0F" w:rsidRDefault="77F7FB59" w:rsidP="0C87AC94">
            <w:pPr>
              <w:rPr>
                <w:rFonts w:ascii="Arial" w:hAnsi="Arial" w:cs="Arial"/>
                <w:b/>
                <w:bCs/>
                <w:i/>
                <w:iCs/>
              </w:rPr>
            </w:pPr>
            <w:r w:rsidRPr="0C87AC94">
              <w:rPr>
                <w:rFonts w:ascii="Arial" w:hAnsi="Arial" w:cs="Arial"/>
                <w:b/>
                <w:bCs/>
                <w:i/>
                <w:iCs/>
              </w:rPr>
              <w:t>Screened out</w:t>
            </w:r>
          </w:p>
        </w:tc>
      </w:tr>
      <w:tr w:rsidR="008A3C0F" w:rsidRPr="00286904" w14:paraId="71D0D565"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0197DB2" w14:textId="0B490B3F" w:rsidR="008A3C0F" w:rsidRDefault="008A3C0F"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1CF8047C" w14:textId="1FC95EDD" w:rsidR="008A3C0F" w:rsidRDefault="008A3C0F" w:rsidP="514B9105">
            <w:pPr>
              <w:rPr>
                <w:rFonts w:ascii="Arial" w:hAnsi="Arial" w:cs="Arial"/>
                <w:b/>
                <w:bCs/>
                <w:i/>
                <w:iCs/>
                <w:highlight w:val="yellow"/>
              </w:rPr>
            </w:pPr>
          </w:p>
        </w:tc>
      </w:tr>
      <w:tr w:rsidR="008A3C0F" w:rsidRPr="00286904" w14:paraId="27118CFD"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4E869B95" w14:textId="6A408280" w:rsidR="003E2EBF" w:rsidRPr="003E2EBF" w:rsidRDefault="159D0DA6" w:rsidP="0C87AC94">
            <w:pPr>
              <w:rPr>
                <w:rFonts w:ascii="Arial" w:hAnsi="Arial" w:cs="Arial"/>
                <w:b/>
                <w:bCs/>
                <w:color w:val="000000" w:themeColor="text1"/>
              </w:rPr>
            </w:pPr>
            <w:r w:rsidRPr="0C87AC94">
              <w:rPr>
                <w:rFonts w:ascii="Arial" w:hAnsi="Arial" w:cs="Arial"/>
                <w:b/>
                <w:bCs/>
                <w:color w:val="000000" w:themeColor="text1"/>
              </w:rPr>
              <w:t>26/02/2025</w:t>
            </w:r>
          </w:p>
          <w:p w14:paraId="70DAD5F9" w14:textId="44F7BD80" w:rsidR="008A3C0F" w:rsidRDefault="008A3C0F" w:rsidP="0C87AC94">
            <w:pPr>
              <w:rPr>
                <w:rFonts w:ascii="Arial" w:hAnsi="Arial" w:cs="Arial"/>
                <w:b/>
                <w:bCs/>
                <w:highlight w:val="yellow"/>
              </w:rPr>
            </w:pPr>
          </w:p>
          <w:p w14:paraId="1B615705" w14:textId="36DC8F39" w:rsidR="159D0DA6" w:rsidRDefault="00684A8C" w:rsidP="0C87AC94">
            <w:pPr>
              <w:rPr>
                <w:rFonts w:ascii="Arial" w:eastAsia="Arial" w:hAnsi="Arial" w:cs="Arial"/>
                <w:szCs w:val="24"/>
                <w:u w:val="single"/>
              </w:rPr>
            </w:pPr>
            <w:hyperlink r:id="rId30" w:history="1">
              <w:r w:rsidR="159D0DA6" w:rsidRPr="00684A8C">
                <w:rPr>
                  <w:rStyle w:val="Hyperlink"/>
                  <w:rFonts w:ascii="Arial" w:eastAsia="Arial" w:hAnsi="Arial" w:cs="Arial"/>
                  <w:szCs w:val="24"/>
                </w:rPr>
                <w:t>Female Genital Mutilation (FGM) Safeguarding Pathway and Risk Assessm</w:t>
              </w:r>
              <w:r w:rsidR="159D0DA6" w:rsidRPr="00684A8C">
                <w:rPr>
                  <w:rStyle w:val="Hyperlink"/>
                  <w:rFonts w:ascii="Arial" w:eastAsia="Arial" w:hAnsi="Arial" w:cs="Arial"/>
                  <w:szCs w:val="24"/>
                </w:rPr>
                <w:t>ent</w:t>
              </w:r>
            </w:hyperlink>
          </w:p>
          <w:p w14:paraId="23D36286" w14:textId="327888E2" w:rsidR="0C87AC94" w:rsidRDefault="0C87AC94" w:rsidP="0C87AC94">
            <w:pPr>
              <w:rPr>
                <w:rFonts w:ascii="Arial" w:hAnsi="Arial" w:cs="Arial"/>
                <w:b/>
                <w:bCs/>
                <w:highlight w:val="yellow"/>
              </w:rPr>
            </w:pPr>
          </w:p>
          <w:p w14:paraId="2D4E0B40" w14:textId="4E918E89" w:rsidR="008A3C0F" w:rsidRPr="003E2EBF" w:rsidRDefault="68870137" w:rsidP="0C87AC94">
            <w:pPr>
              <w:rPr>
                <w:rFonts w:ascii="Arial" w:hAnsi="Arial" w:cs="Arial"/>
                <w:b/>
                <w:bCs/>
              </w:rPr>
            </w:pPr>
            <w:r w:rsidRPr="0C87AC94">
              <w:rPr>
                <w:rFonts w:ascii="Arial" w:hAnsi="Arial" w:cs="Arial"/>
                <w:b/>
                <w:bCs/>
              </w:rPr>
              <w:t>Purpose:</w:t>
            </w:r>
          </w:p>
          <w:p w14:paraId="231AE588" w14:textId="18218921" w:rsidR="008A3C0F" w:rsidRPr="003E2EBF" w:rsidRDefault="38078765" w:rsidP="0C87AC94">
            <w:pPr>
              <w:rPr>
                <w:rFonts w:ascii="Arial" w:eastAsia="Arial" w:hAnsi="Arial" w:cs="Arial"/>
                <w:szCs w:val="24"/>
              </w:rPr>
            </w:pPr>
            <w:r w:rsidRPr="0C87AC94">
              <w:rPr>
                <w:rFonts w:ascii="Arial" w:eastAsia="Arial" w:hAnsi="Arial" w:cs="Arial"/>
                <w:color w:val="000000" w:themeColor="text1"/>
                <w:szCs w:val="24"/>
              </w:rPr>
              <w:t>This policy has been developed by the Safeguarding Board for Northern Ireland (SBNI) to support all staff who work with and who deliver services to children and young people, women and families.</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59E45158" w14:textId="4A2ABD4A" w:rsidR="008A3C0F" w:rsidRDefault="68870137" w:rsidP="0C87AC94">
            <w:pPr>
              <w:rPr>
                <w:rFonts w:ascii="Arial" w:hAnsi="Arial" w:cs="Arial"/>
                <w:b/>
                <w:bCs/>
                <w:i/>
                <w:iCs/>
              </w:rPr>
            </w:pPr>
            <w:r w:rsidRPr="0C87AC94">
              <w:rPr>
                <w:rFonts w:ascii="Arial" w:hAnsi="Arial" w:cs="Arial"/>
                <w:b/>
                <w:bCs/>
                <w:i/>
                <w:iCs/>
              </w:rPr>
              <w:t xml:space="preserve">Screened out – </w:t>
            </w:r>
            <w:r w:rsidR="6DBEE8BF" w:rsidRPr="0C87AC94">
              <w:rPr>
                <w:rFonts w:ascii="Arial" w:hAnsi="Arial" w:cs="Arial"/>
                <w:b/>
                <w:bCs/>
                <w:i/>
                <w:iCs/>
              </w:rPr>
              <w:t>Minor with Mitigation</w:t>
            </w:r>
          </w:p>
        </w:tc>
      </w:tr>
      <w:tr w:rsidR="008A3C0F" w:rsidRPr="00286904" w14:paraId="1A02A88D"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641AB0A2" w14:textId="77777777" w:rsidR="008A3C0F" w:rsidRDefault="008A3C0F" w:rsidP="008A3C0F">
            <w:pPr>
              <w:rPr>
                <w:rFonts w:ascii="Arial" w:hAnsi="Arial" w:cs="Arial"/>
                <w:b/>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6EF722E5" w14:textId="77777777" w:rsidR="008A3C0F" w:rsidRDefault="008A3C0F" w:rsidP="008A3C0F">
            <w:pPr>
              <w:rPr>
                <w:rFonts w:ascii="Arial" w:hAnsi="Arial" w:cs="Arial"/>
                <w:b/>
                <w:i/>
                <w:szCs w:val="24"/>
              </w:rPr>
            </w:pPr>
          </w:p>
        </w:tc>
      </w:tr>
      <w:tr w:rsidR="003E2EBF" w:rsidRPr="00286904" w14:paraId="01E82A86"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auto"/>
          </w:tcPr>
          <w:p w14:paraId="548DC3EF" w14:textId="2100EF28" w:rsidR="00294AEA" w:rsidRPr="003E2EBF" w:rsidRDefault="6DBEE8BF" w:rsidP="0C87AC94">
            <w:pPr>
              <w:rPr>
                <w:rFonts w:ascii="Arial" w:hAnsi="Arial" w:cs="Arial"/>
                <w:b/>
                <w:bCs/>
                <w:color w:val="000000" w:themeColor="text1"/>
              </w:rPr>
            </w:pPr>
            <w:r w:rsidRPr="0C87AC94">
              <w:rPr>
                <w:rFonts w:ascii="Arial" w:hAnsi="Arial" w:cs="Arial"/>
                <w:b/>
                <w:bCs/>
                <w:color w:val="000000" w:themeColor="text1"/>
              </w:rPr>
              <w:lastRenderedPageBreak/>
              <w:t>28/02/2025</w:t>
            </w:r>
          </w:p>
          <w:p w14:paraId="62EB641B" w14:textId="06EAF40F" w:rsidR="003E2EBF" w:rsidRDefault="003E2EBF" w:rsidP="514B9105">
            <w:pPr>
              <w:rPr>
                <w:rFonts w:ascii="Arial" w:hAnsi="Arial" w:cs="Arial"/>
                <w:b/>
                <w:bCs/>
                <w:highlight w:val="yellow"/>
              </w:rPr>
            </w:pPr>
          </w:p>
          <w:p w14:paraId="68F9E9F5" w14:textId="7B3F5555" w:rsidR="003E2EBF" w:rsidRDefault="00684A8C" w:rsidP="0C87AC94">
            <w:pPr>
              <w:rPr>
                <w:rFonts w:ascii="Arial" w:eastAsia="Arial" w:hAnsi="Arial" w:cs="Arial"/>
                <w:szCs w:val="24"/>
                <w:u w:val="single"/>
              </w:rPr>
            </w:pPr>
            <w:r>
              <w:rPr>
                <w:rFonts w:ascii="Arial" w:eastAsia="Arial" w:hAnsi="Arial" w:cs="Arial"/>
                <w:color w:val="000000" w:themeColor="text1"/>
                <w:szCs w:val="24"/>
                <w:u w:val="single"/>
              </w:rPr>
              <w:fldChar w:fldCharType="begin"/>
            </w:r>
            <w:r>
              <w:rPr>
                <w:rFonts w:ascii="Arial" w:eastAsia="Arial" w:hAnsi="Arial" w:cs="Arial"/>
                <w:color w:val="000000" w:themeColor="text1"/>
                <w:szCs w:val="24"/>
                <w:u w:val="single"/>
              </w:rPr>
              <w:instrText xml:space="preserve"> HYPERLINK "https://belfasttrust.hscni.net/download/725/jan-mar-25/21847/es-feb-25-redu-es-feb-25-05-temporary-reduction-in-disabled-parking-spaces-bch.doc" </w:instrText>
            </w:r>
            <w:r>
              <w:rPr>
                <w:rFonts w:ascii="Arial" w:eastAsia="Arial" w:hAnsi="Arial" w:cs="Arial"/>
                <w:color w:val="000000" w:themeColor="text1"/>
                <w:szCs w:val="24"/>
                <w:u w:val="single"/>
              </w:rPr>
            </w:r>
            <w:r>
              <w:rPr>
                <w:rFonts w:ascii="Arial" w:eastAsia="Arial" w:hAnsi="Arial" w:cs="Arial"/>
                <w:color w:val="000000" w:themeColor="text1"/>
                <w:szCs w:val="24"/>
                <w:u w:val="single"/>
              </w:rPr>
              <w:fldChar w:fldCharType="separate"/>
            </w:r>
            <w:r w:rsidR="6DBEE8BF" w:rsidRPr="00684A8C">
              <w:rPr>
                <w:rStyle w:val="Hyperlink"/>
                <w:rFonts w:ascii="Arial" w:eastAsia="Arial" w:hAnsi="Arial" w:cs="Arial"/>
                <w:szCs w:val="24"/>
              </w:rPr>
              <w:t xml:space="preserve">Reduction in disabled parking spaces on the Belfast City Hospital site from March – October </w:t>
            </w:r>
            <w:r w:rsidR="6DBEE8BF" w:rsidRPr="00684A8C">
              <w:rPr>
                <w:rStyle w:val="Hyperlink"/>
                <w:rFonts w:ascii="Arial" w:eastAsia="Arial" w:hAnsi="Arial" w:cs="Arial"/>
                <w:szCs w:val="24"/>
              </w:rPr>
              <w:t>2025</w:t>
            </w:r>
            <w:r>
              <w:rPr>
                <w:rFonts w:ascii="Arial" w:eastAsia="Arial" w:hAnsi="Arial" w:cs="Arial"/>
                <w:color w:val="000000" w:themeColor="text1"/>
                <w:szCs w:val="24"/>
                <w:u w:val="single"/>
              </w:rPr>
              <w:fldChar w:fldCharType="end"/>
            </w:r>
          </w:p>
          <w:p w14:paraId="12942039" w14:textId="743699E3" w:rsidR="0C87AC94" w:rsidRDefault="0C87AC94" w:rsidP="0C87AC94">
            <w:pPr>
              <w:rPr>
                <w:rFonts w:ascii="Arial" w:hAnsi="Arial" w:cs="Arial"/>
                <w:b/>
                <w:bCs/>
                <w:highlight w:val="yellow"/>
              </w:rPr>
            </w:pPr>
          </w:p>
          <w:p w14:paraId="3E2AF17C" w14:textId="2C866036" w:rsidR="00294AEA" w:rsidRDefault="6FAF28CE" w:rsidP="0C87AC94">
            <w:pPr>
              <w:rPr>
                <w:rFonts w:ascii="Arial" w:hAnsi="Arial" w:cs="Arial"/>
                <w:b/>
                <w:bCs/>
              </w:rPr>
            </w:pPr>
            <w:r w:rsidRPr="0C87AC94">
              <w:rPr>
                <w:rFonts w:ascii="Arial" w:hAnsi="Arial" w:cs="Arial"/>
                <w:b/>
                <w:bCs/>
              </w:rPr>
              <w:t>Purpose:</w:t>
            </w:r>
          </w:p>
          <w:p w14:paraId="74A385E4" w14:textId="2CBAAB04" w:rsidR="003E2EBF" w:rsidRDefault="038B95EB" w:rsidP="0C87AC94">
            <w:pPr>
              <w:rPr>
                <w:rFonts w:ascii="Arial" w:eastAsia="Arial" w:hAnsi="Arial" w:cs="Arial"/>
                <w:szCs w:val="24"/>
              </w:rPr>
            </w:pPr>
            <w:r w:rsidRPr="0C87AC94">
              <w:rPr>
                <w:rFonts w:ascii="Arial" w:eastAsia="Arial" w:hAnsi="Arial" w:cs="Arial"/>
                <w:color w:val="000000" w:themeColor="text1"/>
                <w:szCs w:val="24"/>
              </w:rPr>
              <w:t xml:space="preserve">In February 2025, the Trust’s Estates Department advised PCSS Logistics that they urgently needed to cordon off 32 of the 55 disabled spaces in the Tower carpark. The Ground Floor Level A of the carpark was </w:t>
            </w:r>
            <w:bookmarkStart w:id="0" w:name="_Int_JkDHAzR9"/>
            <w:r w:rsidRPr="0C87AC94">
              <w:rPr>
                <w:rFonts w:ascii="Arial" w:eastAsia="Arial" w:hAnsi="Arial" w:cs="Arial"/>
                <w:color w:val="000000" w:themeColor="text1"/>
                <w:szCs w:val="24"/>
              </w:rPr>
              <w:t>leaking</w:t>
            </w:r>
            <w:bookmarkEnd w:id="0"/>
            <w:r w:rsidRPr="0C87AC94">
              <w:rPr>
                <w:rFonts w:ascii="Arial" w:eastAsia="Arial" w:hAnsi="Arial" w:cs="Arial"/>
                <w:color w:val="000000" w:themeColor="text1"/>
                <w:szCs w:val="24"/>
              </w:rPr>
              <w:t xml:space="preserve"> and the steelwork is rusting badly and has past the point where temporary gutters, downpipes and catch trays are effective.</w:t>
            </w:r>
          </w:p>
        </w:tc>
        <w:tc>
          <w:tcPr>
            <w:tcW w:w="3969" w:type="dxa"/>
            <w:tcBorders>
              <w:top w:val="single" w:sz="4" w:space="0" w:color="auto"/>
              <w:left w:val="nil"/>
              <w:bottom w:val="single" w:sz="4" w:space="0" w:color="auto"/>
              <w:right w:val="single" w:sz="4" w:space="0" w:color="000000" w:themeColor="text1"/>
            </w:tcBorders>
            <w:shd w:val="clear" w:color="auto" w:fill="auto"/>
            <w:vAlign w:val="bottom"/>
          </w:tcPr>
          <w:p w14:paraId="40546D0C" w14:textId="3796769A" w:rsidR="003E2EBF" w:rsidRDefault="6FAF28CE" w:rsidP="0C87AC94">
            <w:pPr>
              <w:rPr>
                <w:rFonts w:ascii="Arial" w:hAnsi="Arial" w:cs="Arial"/>
                <w:b/>
                <w:bCs/>
                <w:i/>
                <w:iCs/>
              </w:rPr>
            </w:pPr>
            <w:r w:rsidRPr="0C87AC94">
              <w:rPr>
                <w:rFonts w:ascii="Arial" w:hAnsi="Arial" w:cs="Arial"/>
                <w:b/>
                <w:bCs/>
                <w:i/>
                <w:iCs/>
              </w:rPr>
              <w:t xml:space="preserve">Screened out – </w:t>
            </w:r>
            <w:r w:rsidR="2E12F0A2" w:rsidRPr="0C87AC94">
              <w:rPr>
                <w:rFonts w:ascii="Arial" w:hAnsi="Arial" w:cs="Arial"/>
                <w:b/>
                <w:bCs/>
                <w:i/>
                <w:iCs/>
              </w:rPr>
              <w:t xml:space="preserve">Minor </w:t>
            </w:r>
            <w:r w:rsidRPr="0C87AC94">
              <w:rPr>
                <w:rFonts w:ascii="Arial" w:hAnsi="Arial" w:cs="Arial"/>
                <w:b/>
                <w:bCs/>
                <w:i/>
                <w:iCs/>
              </w:rPr>
              <w:t>Impact</w:t>
            </w:r>
            <w:r w:rsidR="09B49DE8" w:rsidRPr="0C87AC94">
              <w:rPr>
                <w:rFonts w:ascii="Arial" w:hAnsi="Arial" w:cs="Arial"/>
                <w:b/>
                <w:bCs/>
                <w:i/>
                <w:iCs/>
              </w:rPr>
              <w:t xml:space="preserve"> with Mitigation</w:t>
            </w:r>
          </w:p>
        </w:tc>
      </w:tr>
      <w:tr w:rsidR="003E2EBF" w:rsidRPr="00286904" w14:paraId="370FF7D4"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7613DE10" w14:textId="77777777" w:rsidR="003E2EBF" w:rsidRDefault="003E2EBF"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33AEFD7" w14:textId="77777777" w:rsidR="003E2EBF" w:rsidRDefault="003E2EBF" w:rsidP="514B9105">
            <w:pPr>
              <w:rPr>
                <w:rFonts w:ascii="Arial" w:hAnsi="Arial" w:cs="Arial"/>
                <w:b/>
                <w:bCs/>
                <w:i/>
                <w:iCs/>
                <w:highlight w:val="yellow"/>
              </w:rPr>
            </w:pPr>
          </w:p>
        </w:tc>
      </w:tr>
      <w:tr w:rsidR="1523B1AB" w14:paraId="7F3D2CB8"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tcPr>
          <w:p w14:paraId="69DCA27D" w14:textId="3C41660D" w:rsidR="1523B1AB" w:rsidRDefault="09B49DE8" w:rsidP="0C87AC94">
            <w:pPr>
              <w:rPr>
                <w:rFonts w:ascii="Arial" w:hAnsi="Arial" w:cs="Arial"/>
                <w:b/>
                <w:bCs/>
              </w:rPr>
            </w:pPr>
            <w:r w:rsidRPr="0C87AC94">
              <w:rPr>
                <w:rFonts w:ascii="Arial" w:hAnsi="Arial" w:cs="Arial"/>
                <w:b/>
                <w:bCs/>
              </w:rPr>
              <w:t>24/03/2025</w:t>
            </w:r>
          </w:p>
          <w:p w14:paraId="3E2E9E35" w14:textId="4865C8CE" w:rsidR="1523B1AB" w:rsidRDefault="1523B1AB" w:rsidP="0C87AC94">
            <w:pPr>
              <w:rPr>
                <w:rFonts w:ascii="Arial" w:hAnsi="Arial" w:cs="Arial"/>
                <w:b/>
                <w:bCs/>
                <w:highlight w:val="yellow"/>
              </w:rPr>
            </w:pPr>
          </w:p>
          <w:p w14:paraId="1D048BAA" w14:textId="613BF310" w:rsidR="1523B1AB" w:rsidRDefault="00587207" w:rsidP="0C87AC94">
            <w:pPr>
              <w:rPr>
                <w:rFonts w:ascii="Arial" w:eastAsia="Arial" w:hAnsi="Arial" w:cs="Arial"/>
                <w:color w:val="000000" w:themeColor="text1"/>
                <w:szCs w:val="24"/>
                <w:u w:val="single"/>
              </w:rPr>
            </w:pPr>
            <w:hyperlink r:id="rId31" w:history="1">
              <w:r w:rsidR="09B49DE8" w:rsidRPr="00587207">
                <w:rPr>
                  <w:rStyle w:val="Hyperlink"/>
                  <w:rFonts w:ascii="Arial" w:eastAsia="Arial" w:hAnsi="Arial" w:cs="Arial"/>
                  <w:szCs w:val="24"/>
                </w:rPr>
                <w:t>Glucose monitoring for patients r</w:t>
              </w:r>
              <w:bookmarkStart w:id="1" w:name="_GoBack"/>
              <w:bookmarkEnd w:id="1"/>
              <w:r w:rsidR="09B49DE8" w:rsidRPr="00587207">
                <w:rPr>
                  <w:rStyle w:val="Hyperlink"/>
                  <w:rFonts w:ascii="Arial" w:eastAsia="Arial" w:hAnsi="Arial" w:cs="Arial"/>
                  <w:szCs w:val="24"/>
                </w:rPr>
                <w:t>eceiving treatment dose co-</w:t>
              </w:r>
              <w:proofErr w:type="spellStart"/>
              <w:r w:rsidR="09B49DE8" w:rsidRPr="00587207">
                <w:rPr>
                  <w:rStyle w:val="Hyperlink"/>
                  <w:rFonts w:ascii="Arial" w:eastAsia="Arial" w:hAnsi="Arial" w:cs="Arial"/>
                  <w:szCs w:val="24"/>
                </w:rPr>
                <w:t>trimoxazole</w:t>
              </w:r>
              <w:proofErr w:type="spellEnd"/>
              <w:r w:rsidR="09B49DE8" w:rsidRPr="00587207">
                <w:rPr>
                  <w:rStyle w:val="Hyperlink"/>
                  <w:rFonts w:ascii="Arial" w:eastAsia="Arial" w:hAnsi="Arial" w:cs="Arial"/>
                  <w:szCs w:val="24"/>
                </w:rPr>
                <w:t>.</w:t>
              </w:r>
            </w:hyperlink>
          </w:p>
          <w:p w14:paraId="737138FF" w14:textId="502DADB5" w:rsidR="0C87AC94" w:rsidRDefault="0C87AC94" w:rsidP="0C87AC94">
            <w:pPr>
              <w:rPr>
                <w:rFonts w:ascii="Arial" w:eastAsia="Arial" w:hAnsi="Arial" w:cs="Arial"/>
                <w:color w:val="000000" w:themeColor="text1"/>
                <w:szCs w:val="24"/>
              </w:rPr>
            </w:pPr>
          </w:p>
          <w:p w14:paraId="31F7DE1E" w14:textId="531509CC" w:rsidR="1523B1AB" w:rsidRPr="008A6E4E" w:rsidRDefault="59DBA858" w:rsidP="0C87AC94">
            <w:pPr>
              <w:rPr>
                <w:rFonts w:ascii="Arial" w:hAnsi="Arial" w:cs="Arial"/>
                <w:b/>
                <w:bCs/>
              </w:rPr>
            </w:pPr>
            <w:r w:rsidRPr="0C87AC94">
              <w:rPr>
                <w:rFonts w:ascii="Arial" w:hAnsi="Arial" w:cs="Arial"/>
                <w:b/>
                <w:bCs/>
              </w:rPr>
              <w:t>Purpose:</w:t>
            </w:r>
          </w:p>
          <w:p w14:paraId="5E7C5088" w14:textId="073CBC26" w:rsidR="1523B1AB" w:rsidRPr="008A6E4E" w:rsidRDefault="4BE076AA" w:rsidP="0C87AC94">
            <w:pPr>
              <w:rPr>
                <w:rFonts w:ascii="Arial" w:eastAsia="Arial" w:hAnsi="Arial" w:cs="Arial"/>
                <w:color w:val="000000" w:themeColor="text1"/>
                <w:szCs w:val="24"/>
              </w:rPr>
            </w:pPr>
            <w:r w:rsidRPr="0C87AC94">
              <w:rPr>
                <w:rFonts w:ascii="Arial" w:eastAsia="Arial" w:hAnsi="Arial" w:cs="Arial"/>
                <w:color w:val="000000" w:themeColor="text1"/>
                <w:szCs w:val="24"/>
              </w:rPr>
              <w:t>Co-</w:t>
            </w:r>
            <w:proofErr w:type="spellStart"/>
            <w:r w:rsidRPr="0C87AC94">
              <w:rPr>
                <w:rFonts w:ascii="Arial" w:eastAsia="Arial" w:hAnsi="Arial" w:cs="Arial"/>
                <w:color w:val="000000" w:themeColor="text1"/>
                <w:szCs w:val="24"/>
              </w:rPr>
              <w:t>trimoxazole</w:t>
            </w:r>
            <w:proofErr w:type="spellEnd"/>
            <w:r w:rsidRPr="0C87AC94">
              <w:rPr>
                <w:rFonts w:ascii="Arial" w:eastAsia="Arial" w:hAnsi="Arial" w:cs="Arial"/>
                <w:color w:val="000000" w:themeColor="text1"/>
                <w:szCs w:val="24"/>
              </w:rPr>
              <w:t xml:space="preserve"> is used to treat susceptible infections and can cause severe hypoglycaemia. Severe hypoglycaemia secondary to high-dose co-</w:t>
            </w:r>
            <w:proofErr w:type="spellStart"/>
            <w:r w:rsidRPr="0C87AC94">
              <w:rPr>
                <w:rFonts w:ascii="Arial" w:eastAsia="Arial" w:hAnsi="Arial" w:cs="Arial"/>
                <w:color w:val="000000" w:themeColor="text1"/>
                <w:szCs w:val="24"/>
              </w:rPr>
              <w:t>trimoxazole</w:t>
            </w:r>
            <w:proofErr w:type="spellEnd"/>
            <w:r w:rsidRPr="0C87AC94">
              <w:rPr>
                <w:rFonts w:ascii="Arial" w:eastAsia="Arial" w:hAnsi="Arial" w:cs="Arial"/>
                <w:color w:val="000000" w:themeColor="text1"/>
                <w:szCs w:val="24"/>
              </w:rPr>
              <w:t xml:space="preserve"> is a recognised, rare side-effect. It may be life-threatening. Since 2014 there have been 16 reports of hypoglycaemia associated with the use of co-</w:t>
            </w:r>
            <w:proofErr w:type="spellStart"/>
            <w:r w:rsidRPr="0C87AC94">
              <w:rPr>
                <w:rFonts w:ascii="Arial" w:eastAsia="Arial" w:hAnsi="Arial" w:cs="Arial"/>
                <w:color w:val="000000" w:themeColor="text1"/>
                <w:szCs w:val="24"/>
              </w:rPr>
              <w:t>trimoxazole</w:t>
            </w:r>
            <w:proofErr w:type="spellEnd"/>
            <w:r w:rsidRPr="0C87AC94">
              <w:rPr>
                <w:rFonts w:ascii="Arial" w:eastAsia="Arial" w:hAnsi="Arial" w:cs="Arial"/>
                <w:color w:val="000000" w:themeColor="text1"/>
                <w:szCs w:val="24"/>
              </w:rPr>
              <w:t xml:space="preserve"> including one fatality2. This policy relates to co-</w:t>
            </w:r>
            <w:proofErr w:type="spellStart"/>
            <w:r w:rsidRPr="0C87AC94">
              <w:rPr>
                <w:rFonts w:ascii="Arial" w:eastAsia="Arial" w:hAnsi="Arial" w:cs="Arial"/>
                <w:color w:val="000000" w:themeColor="text1"/>
                <w:szCs w:val="24"/>
              </w:rPr>
              <w:t>trimoxazole</w:t>
            </w:r>
            <w:proofErr w:type="spellEnd"/>
            <w:r w:rsidRPr="0C87AC94">
              <w:rPr>
                <w:rFonts w:ascii="Arial" w:eastAsia="Arial" w:hAnsi="Arial" w:cs="Arial"/>
                <w:color w:val="000000" w:themeColor="text1"/>
                <w:szCs w:val="24"/>
              </w:rPr>
              <w:t xml:space="preserve"> when used at treatment doses (either by intravenous or oral routes), NOT for prophylaxis.</w:t>
            </w:r>
          </w:p>
          <w:p w14:paraId="29B71B77" w14:textId="0714C30E" w:rsidR="1523B1AB" w:rsidRPr="008A6E4E" w:rsidRDefault="1523B1AB" w:rsidP="0C87AC94">
            <w:pPr>
              <w:rPr>
                <w:rFonts w:ascii="Times New Roman" w:hAnsi="Times New Roman"/>
                <w:color w:val="000000" w:themeColor="text1"/>
                <w:szCs w:val="24"/>
              </w:rPr>
            </w:pPr>
          </w:p>
        </w:tc>
        <w:tc>
          <w:tcPr>
            <w:tcW w:w="3969" w:type="dxa"/>
            <w:tcBorders>
              <w:top w:val="single" w:sz="4" w:space="0" w:color="auto"/>
              <w:left w:val="nil"/>
              <w:bottom w:val="single" w:sz="4" w:space="0" w:color="auto"/>
              <w:right w:val="single" w:sz="4" w:space="0" w:color="000000" w:themeColor="text1"/>
            </w:tcBorders>
            <w:vAlign w:val="bottom"/>
          </w:tcPr>
          <w:p w14:paraId="2BAF3D22" w14:textId="731A99EF" w:rsidR="1523B1AB" w:rsidRPr="00750F48" w:rsidRDefault="3840A47F" w:rsidP="0C87AC94">
            <w:pPr>
              <w:rPr>
                <w:rFonts w:ascii="Calibri" w:hAnsi="Calibri" w:cs="Calibri"/>
                <w:color w:val="000000"/>
                <w:sz w:val="22"/>
                <w:szCs w:val="22"/>
              </w:rPr>
            </w:pPr>
            <w:r w:rsidRPr="0C87AC94">
              <w:rPr>
                <w:rFonts w:ascii="Arial" w:hAnsi="Arial" w:cs="Arial"/>
                <w:b/>
                <w:bCs/>
                <w:i/>
                <w:iCs/>
              </w:rPr>
              <w:t xml:space="preserve">Screened Out </w:t>
            </w:r>
          </w:p>
        </w:tc>
      </w:tr>
      <w:tr w:rsidR="1523B1AB" w14:paraId="00926705" w14:textId="77777777" w:rsidTr="0C87AC94">
        <w:trPr>
          <w:cantSplit/>
          <w:trHeight w:val="283"/>
        </w:trPr>
        <w:tc>
          <w:tcPr>
            <w:tcW w:w="5813" w:type="dxa"/>
            <w:tcBorders>
              <w:top w:val="single" w:sz="4" w:space="0" w:color="auto"/>
              <w:left w:val="single" w:sz="4" w:space="0" w:color="auto"/>
              <w:bottom w:val="single" w:sz="4" w:space="0" w:color="auto"/>
              <w:right w:val="single" w:sz="4" w:space="0" w:color="000000" w:themeColor="text1"/>
            </w:tcBorders>
            <w:shd w:val="clear" w:color="auto" w:fill="0070C0"/>
          </w:tcPr>
          <w:p w14:paraId="052CAB35" w14:textId="065EFA08" w:rsidR="1523B1AB" w:rsidRDefault="1523B1AB" w:rsidP="514B9105">
            <w:pPr>
              <w:rPr>
                <w:rFonts w:ascii="Arial" w:hAnsi="Arial" w:cs="Arial"/>
                <w:b/>
                <w:bCs/>
                <w:highlight w:val="yellow"/>
              </w:rPr>
            </w:pPr>
          </w:p>
        </w:tc>
        <w:tc>
          <w:tcPr>
            <w:tcW w:w="3969" w:type="dxa"/>
            <w:tcBorders>
              <w:top w:val="single" w:sz="4" w:space="0" w:color="auto"/>
              <w:left w:val="nil"/>
              <w:bottom w:val="single" w:sz="4" w:space="0" w:color="auto"/>
              <w:right w:val="single" w:sz="4" w:space="0" w:color="000000" w:themeColor="text1"/>
            </w:tcBorders>
            <w:shd w:val="clear" w:color="auto" w:fill="0070C0"/>
            <w:vAlign w:val="bottom"/>
          </w:tcPr>
          <w:p w14:paraId="7177833C" w14:textId="4E145BEF" w:rsidR="1523B1AB" w:rsidRDefault="1523B1AB" w:rsidP="514B9105">
            <w:pPr>
              <w:rPr>
                <w:rFonts w:ascii="Arial" w:hAnsi="Arial" w:cs="Arial"/>
                <w:b/>
                <w:bCs/>
                <w:i/>
                <w:iCs/>
                <w:highlight w:val="yellow"/>
              </w:rPr>
            </w:pPr>
          </w:p>
        </w:tc>
      </w:tr>
    </w:tbl>
    <w:p w14:paraId="41183D8F" w14:textId="22CA2944" w:rsidR="0C87AC94" w:rsidRDefault="0C87AC94"/>
    <w:p w14:paraId="010D72DE" w14:textId="66609000" w:rsidR="0C87AC94" w:rsidRDefault="0C87AC94"/>
    <w:p w14:paraId="36B9AACA" w14:textId="1A5EF16E" w:rsidR="0C87AC94" w:rsidRDefault="0C87AC94"/>
    <w:p w14:paraId="57BD78C7" w14:textId="31C3616B" w:rsidR="0C87AC94" w:rsidRDefault="0C87AC94"/>
    <w:p w14:paraId="1D7228EE" w14:textId="0BB465A7" w:rsidR="0C87AC94" w:rsidRDefault="0C87AC94"/>
    <w:p w14:paraId="6096C54C" w14:textId="6E4CD69B" w:rsidR="0C87AC94" w:rsidRDefault="0C87AC94"/>
    <w:p w14:paraId="2FB944F8" w14:textId="4E0EBE5F" w:rsidR="0C87AC94" w:rsidRDefault="0C87AC94"/>
    <w:p w14:paraId="3CBD77AA" w14:textId="6B682CA1" w:rsidR="0C87AC94" w:rsidRDefault="0C87AC94"/>
    <w:p w14:paraId="0037023B" w14:textId="7357D4D1" w:rsidR="0C87AC94" w:rsidRDefault="0C87AC94"/>
    <w:p w14:paraId="51EBCB0D" w14:textId="5CF14560" w:rsidR="0C87AC94" w:rsidRDefault="0C87AC94"/>
    <w:p w14:paraId="5DAB8CF5" w14:textId="5300A076" w:rsidR="0C87AC94" w:rsidRDefault="0C87AC94"/>
    <w:p w14:paraId="13206769" w14:textId="0FA543F7" w:rsidR="0C87AC94" w:rsidRDefault="0C87AC94"/>
    <w:p w14:paraId="5FE8955C" w14:textId="2740DE13" w:rsidR="0C87AC94" w:rsidRDefault="0C87AC94"/>
    <w:p w14:paraId="078FC939" w14:textId="104C2CBA" w:rsidR="0C87AC94" w:rsidRDefault="0C87AC94"/>
    <w:p w14:paraId="46C80C88" w14:textId="44487381" w:rsidR="0C87AC94" w:rsidRDefault="0C87AC94"/>
    <w:p w14:paraId="7FB3236C" w14:textId="1C48C086" w:rsidR="0C87AC94" w:rsidRDefault="0C87AC94"/>
    <w:p w14:paraId="41E5EB5A" w14:textId="15181B71" w:rsidR="0C87AC94" w:rsidRDefault="0C87AC94"/>
    <w:p w14:paraId="4459C7A0" w14:textId="0DB6553E" w:rsidR="0C87AC94" w:rsidRDefault="0C87AC94"/>
    <w:p w14:paraId="4FC7AB87" w14:textId="49245C88" w:rsidR="0C87AC94" w:rsidRDefault="0C87AC94"/>
    <w:p w14:paraId="42C51C2E" w14:textId="7439113B" w:rsidR="0C87AC94" w:rsidRDefault="0C87AC94"/>
    <w:p w14:paraId="4874340B" w14:textId="7D6BF4A4" w:rsidR="0C87AC94" w:rsidRDefault="0C87AC94"/>
    <w:p w14:paraId="664355AD" w14:textId="77777777" w:rsidR="00B5640A" w:rsidRPr="00751404" w:rsidRDefault="00B5640A">
      <w:pPr>
        <w:rPr>
          <w:highlight w:val="yellow"/>
        </w:rPr>
      </w:pPr>
    </w:p>
    <w:sectPr w:rsidR="00B5640A" w:rsidRPr="00751404" w:rsidSect="00107C2C">
      <w:pgSz w:w="11906" w:h="16838" w:code="9"/>
      <w:pgMar w:top="1247" w:right="1418" w:bottom="993"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A4000" w14:textId="77777777" w:rsidR="005B7779" w:rsidRDefault="005B7779" w:rsidP="00D923DB">
      <w:r>
        <w:separator/>
      </w:r>
    </w:p>
  </w:endnote>
  <w:endnote w:type="continuationSeparator" w:id="0">
    <w:p w14:paraId="383E0E1D" w14:textId="77777777" w:rsidR="005B7779" w:rsidRDefault="005B7779" w:rsidP="00D923DB">
      <w:r>
        <w:continuationSeparator/>
      </w:r>
    </w:p>
  </w:endnote>
  <w:endnote w:type="continuationNotice" w:id="1">
    <w:p w14:paraId="7B2A68D0" w14:textId="77777777" w:rsidR="0018708A" w:rsidRDefault="001870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26E5D" w14:textId="77777777" w:rsidR="005B7779" w:rsidRDefault="005B7779" w:rsidP="00107C2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7B5B" w14:textId="4C396BE0" w:rsidR="005B7779" w:rsidRDefault="005B7779" w:rsidP="00107C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768D">
      <w:rPr>
        <w:rStyle w:val="PageNumber"/>
        <w:noProof/>
      </w:rPr>
      <w:t>5</w:t>
    </w:r>
    <w:r>
      <w:rPr>
        <w:rStyle w:val="PageNumber"/>
      </w:rPr>
      <w:fldChar w:fldCharType="end"/>
    </w:r>
  </w:p>
  <w:p w14:paraId="42C6D796" w14:textId="77777777" w:rsidR="005B7779" w:rsidRDefault="005B7779" w:rsidP="00107C2C">
    <w:pPr>
      <w:pStyle w:val="Footer"/>
      <w:framePr w:wrap="around" w:vAnchor="text" w:hAnchor="margin" w:y="1"/>
      <w:ind w:right="360"/>
      <w:rPr>
        <w:rStyle w:val="PageNumber"/>
      </w:rPr>
    </w:pPr>
  </w:p>
  <w:p w14:paraId="6E1831B3" w14:textId="77777777" w:rsidR="005B7779" w:rsidRDefault="005B7779" w:rsidP="00107C2C">
    <w:pPr>
      <w:pStyle w:val="Footer"/>
      <w:framePr w:wrap="around" w:vAnchor="text" w:hAnchor="margin" w:xAlign="right" w:y="1"/>
      <w:ind w:right="360"/>
      <w:rPr>
        <w:rStyle w:val="PageNumber"/>
      </w:rPr>
    </w:pPr>
  </w:p>
  <w:p w14:paraId="54E11D2A" w14:textId="77777777" w:rsidR="005B7779" w:rsidRDefault="005B7779" w:rsidP="00107C2C">
    <w:pPr>
      <w:pStyle w:val="Footer"/>
      <w:ind w:right="360"/>
    </w:pPr>
  </w:p>
  <w:p w14:paraId="7A18FFA1" w14:textId="77777777" w:rsidR="005B7779" w:rsidRDefault="005B7779" w:rsidP="00107C2C">
    <w:pPr>
      <w:pStyle w:val="Footer"/>
      <w:ind w:right="360"/>
    </w:pPr>
    <w:r>
      <w:rPr>
        <w:noProof/>
      </w:rPr>
      <mc:AlternateContent>
        <mc:Choice Requires="wps">
          <w:drawing>
            <wp:anchor distT="0" distB="0" distL="114300" distR="114300" simplePos="0" relativeHeight="251658241" behindDoc="0" locked="0" layoutInCell="1" allowOverlap="1" wp14:anchorId="14BA1F67" wp14:editId="435373C1">
              <wp:simplePos x="0" y="0"/>
              <wp:positionH relativeFrom="column">
                <wp:posOffset>-1143000</wp:posOffset>
              </wp:positionH>
              <wp:positionV relativeFrom="paragraph">
                <wp:posOffset>114300</wp:posOffset>
              </wp:positionV>
              <wp:extent cx="10974705" cy="1270"/>
              <wp:effectExtent l="10160" t="7620" r="698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74705" cy="1270"/>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qua" from="-90pt,9pt" to="774.15pt,9.1pt" w14:anchorId="522FF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5116" w14:textId="77777777" w:rsidR="005B7779" w:rsidRDefault="005B7779" w:rsidP="00107C2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7E089" w14:textId="77777777" w:rsidR="005B7779" w:rsidRDefault="005B7779" w:rsidP="00D923DB">
      <w:r>
        <w:separator/>
      </w:r>
    </w:p>
  </w:footnote>
  <w:footnote w:type="continuationSeparator" w:id="0">
    <w:p w14:paraId="37B591AC" w14:textId="77777777" w:rsidR="005B7779" w:rsidRDefault="005B7779" w:rsidP="00D923DB">
      <w:r>
        <w:continuationSeparator/>
      </w:r>
    </w:p>
  </w:footnote>
  <w:footnote w:type="continuationNotice" w:id="1">
    <w:p w14:paraId="38DE904E" w14:textId="77777777" w:rsidR="0018708A" w:rsidRDefault="0018708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8639" w14:textId="349044E8" w:rsidR="005B7779" w:rsidRDefault="161A3BA2" w:rsidP="00107C2C">
    <w:pPr>
      <w:jc w:val="right"/>
      <w:rPr>
        <w:color w:val="00FFFF"/>
        <w:sz w:val="16"/>
        <w:szCs w:val="16"/>
      </w:rPr>
    </w:pPr>
    <w:r w:rsidRPr="161A3BA2">
      <w:rPr>
        <w:rFonts w:ascii="Arial" w:hAnsi="Arial" w:cs="Arial"/>
        <w:sz w:val="28"/>
        <w:szCs w:val="28"/>
      </w:rPr>
      <w:t>Screening Outcome Report – 31</w:t>
    </w:r>
    <w:r w:rsidRPr="161A3BA2">
      <w:rPr>
        <w:rFonts w:ascii="Arial" w:hAnsi="Arial" w:cs="Arial"/>
        <w:sz w:val="28"/>
        <w:szCs w:val="28"/>
        <w:vertAlign w:val="superscript"/>
      </w:rPr>
      <w:t>st</w:t>
    </w:r>
    <w:r w:rsidRPr="161A3BA2">
      <w:rPr>
        <w:rFonts w:ascii="Arial" w:hAnsi="Arial" w:cs="Arial"/>
        <w:sz w:val="28"/>
        <w:szCs w:val="28"/>
      </w:rPr>
      <w:t xml:space="preserve"> January – 31</w:t>
    </w:r>
    <w:r w:rsidRPr="161A3BA2">
      <w:rPr>
        <w:rFonts w:ascii="Arial" w:hAnsi="Arial" w:cs="Arial"/>
        <w:sz w:val="28"/>
        <w:szCs w:val="28"/>
        <w:vertAlign w:val="superscript"/>
      </w:rPr>
      <w:t>st</w:t>
    </w:r>
    <w:r w:rsidRPr="161A3BA2">
      <w:rPr>
        <w:rFonts w:ascii="Arial" w:hAnsi="Arial" w:cs="Arial"/>
        <w:sz w:val="28"/>
        <w:szCs w:val="28"/>
      </w:rPr>
      <w:t xml:space="preserve"> March 2025</w:t>
    </w:r>
  </w:p>
  <w:p w14:paraId="2DE403A5" w14:textId="77777777" w:rsidR="005B7779" w:rsidRPr="00B7077F" w:rsidRDefault="005B7779" w:rsidP="00107C2C">
    <w:pPr>
      <w:jc w:val="right"/>
      <w:rPr>
        <w:color w:val="00FFFF"/>
        <w:sz w:val="16"/>
        <w:szCs w:val="16"/>
      </w:rPr>
    </w:pPr>
  </w:p>
  <w:p w14:paraId="402D24A6" w14:textId="77777777" w:rsidR="005B7779" w:rsidRPr="00046D38" w:rsidRDefault="005B7779">
    <w:pPr>
      <w:pStyle w:val="Header"/>
      <w:rPr>
        <w:color w:val="00FFFF"/>
        <w:sz w:val="20"/>
      </w:rPr>
    </w:pPr>
    <w:r w:rsidRPr="00046D38">
      <w:rPr>
        <w:noProof/>
        <w:color w:val="00FFFF"/>
        <w:sz w:val="20"/>
      </w:rPr>
      <mc:AlternateContent>
        <mc:Choice Requires="wps">
          <w:drawing>
            <wp:anchor distT="0" distB="0" distL="114300" distR="114300" simplePos="0" relativeHeight="251658240" behindDoc="0" locked="0" layoutInCell="1" allowOverlap="1" wp14:anchorId="4D69AA5E" wp14:editId="69B9B74E">
              <wp:simplePos x="0" y="0"/>
              <wp:positionH relativeFrom="column">
                <wp:posOffset>-1143000</wp:posOffset>
              </wp:positionH>
              <wp:positionV relativeFrom="paragraph">
                <wp:posOffset>56515</wp:posOffset>
              </wp:positionV>
              <wp:extent cx="10058400" cy="1905"/>
              <wp:effectExtent l="10160" t="5715" r="8890" b="114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0" cy="1905"/>
                      </a:xfrm>
                      <a:prstGeom prst="line">
                        <a:avLst/>
                      </a:prstGeom>
                      <a:noFill/>
                      <a:ln w="9525">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1"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qua" from="-90pt,4.45pt" to="702pt,4.6pt" w14:anchorId="3451B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"/>
          </w:pict>
        </mc:Fallback>
      </mc:AlternateContent>
    </w:r>
  </w:p>
  <w:p w14:paraId="62431CDC" w14:textId="77777777" w:rsidR="005B7779" w:rsidRPr="00046D38" w:rsidRDefault="005B7779">
    <w:pPr>
      <w:pStyle w:val="Header"/>
      <w:rPr>
        <w:color w:val="33CCCC"/>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6542E" w14:textId="77777777" w:rsidR="005B7779" w:rsidRDefault="005B7779">
    <w:pPr>
      <w:pStyle w:val="Header"/>
    </w:pPr>
    <w:r>
      <w:rPr>
        <w:snapToGrid w:val="0"/>
        <w:lang w:eastAsia="en-US"/>
      </w:rPr>
      <w:tab/>
    </w:r>
  </w:p>
</w:hdr>
</file>

<file path=word/intelligence2.xml><?xml version="1.0" encoding="utf-8"?>
<int2:intelligence xmlns:int2="http://schemas.microsoft.com/office/intelligence/2020/intelligence">
  <int2:observations>
    <int2:textHash int2:hashCode="EWy2pmD8xCNYBC" int2:id="3QoU1PnT">
      <int2:state int2:type="AugLoop_Text_Critique" int2:value="Rejected"/>
    </int2:textHash>
    <int2:bookmark int2:bookmarkName="_Int_JkDHAzR9" int2:invalidationBookmarkName="" int2:hashCode="7oXofjsIsQmrFZ" int2:id="rNjca6h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B1C5EAD"/>
    <w:multiLevelType w:val="hybridMultilevel"/>
    <w:tmpl w:val="A44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2796F"/>
    <w:multiLevelType w:val="hybridMultilevel"/>
    <w:tmpl w:val="C4F0D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B78E4"/>
    <w:multiLevelType w:val="hybridMultilevel"/>
    <w:tmpl w:val="2ED8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210C1"/>
    <w:multiLevelType w:val="hybridMultilevel"/>
    <w:tmpl w:val="C108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A5E83"/>
    <w:multiLevelType w:val="hybridMultilevel"/>
    <w:tmpl w:val="675E194A"/>
    <w:lvl w:ilvl="0" w:tplc="87A8C4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60A46"/>
    <w:multiLevelType w:val="hybridMultilevel"/>
    <w:tmpl w:val="B1FA5CCA"/>
    <w:lvl w:ilvl="0" w:tplc="61F4440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B151E"/>
    <w:multiLevelType w:val="hybridMultilevel"/>
    <w:tmpl w:val="C1242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D2204C"/>
    <w:multiLevelType w:val="hybridMultilevel"/>
    <w:tmpl w:val="51CC8E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2F302BF"/>
    <w:multiLevelType w:val="hybridMultilevel"/>
    <w:tmpl w:val="0DC6CB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D096EBA"/>
    <w:multiLevelType w:val="hybridMultilevel"/>
    <w:tmpl w:val="1ADE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705B5"/>
    <w:multiLevelType w:val="hybridMultilevel"/>
    <w:tmpl w:val="278C68C6"/>
    <w:lvl w:ilvl="0" w:tplc="D4A66828">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6093368B"/>
    <w:multiLevelType w:val="hybridMultilevel"/>
    <w:tmpl w:val="3BDA9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617D42CA"/>
    <w:multiLevelType w:val="hybridMultilevel"/>
    <w:tmpl w:val="FBB4D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825218"/>
    <w:multiLevelType w:val="hybridMultilevel"/>
    <w:tmpl w:val="3FD0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203D3"/>
    <w:multiLevelType w:val="hybridMultilevel"/>
    <w:tmpl w:val="48E4E6DE"/>
    <w:lvl w:ilvl="0" w:tplc="951A7CD2">
      <w:start w:val="1"/>
      <w:numFmt w:val="bullet"/>
      <w:lvlText w:val=""/>
      <w:lvlJc w:val="left"/>
      <w:pPr>
        <w:tabs>
          <w:tab w:val="num" w:pos="720"/>
        </w:tabs>
        <w:ind w:left="720" w:hanging="360"/>
      </w:pPr>
      <w:rPr>
        <w:rFonts w:ascii="Wingdings" w:hAnsi="Wingdings" w:hint="default"/>
      </w:rPr>
    </w:lvl>
    <w:lvl w:ilvl="1" w:tplc="09E0378A" w:tentative="1">
      <w:start w:val="1"/>
      <w:numFmt w:val="bullet"/>
      <w:lvlText w:val=""/>
      <w:lvlJc w:val="left"/>
      <w:pPr>
        <w:tabs>
          <w:tab w:val="num" w:pos="1440"/>
        </w:tabs>
        <w:ind w:left="1440" w:hanging="360"/>
      </w:pPr>
      <w:rPr>
        <w:rFonts w:ascii="Wingdings" w:hAnsi="Wingdings" w:hint="default"/>
      </w:rPr>
    </w:lvl>
    <w:lvl w:ilvl="2" w:tplc="050A9FC2" w:tentative="1">
      <w:start w:val="1"/>
      <w:numFmt w:val="bullet"/>
      <w:lvlText w:val=""/>
      <w:lvlJc w:val="left"/>
      <w:pPr>
        <w:tabs>
          <w:tab w:val="num" w:pos="2160"/>
        </w:tabs>
        <w:ind w:left="2160" w:hanging="360"/>
      </w:pPr>
      <w:rPr>
        <w:rFonts w:ascii="Wingdings" w:hAnsi="Wingdings" w:hint="default"/>
      </w:rPr>
    </w:lvl>
    <w:lvl w:ilvl="3" w:tplc="4B86C804" w:tentative="1">
      <w:start w:val="1"/>
      <w:numFmt w:val="bullet"/>
      <w:lvlText w:val=""/>
      <w:lvlJc w:val="left"/>
      <w:pPr>
        <w:tabs>
          <w:tab w:val="num" w:pos="2880"/>
        </w:tabs>
        <w:ind w:left="2880" w:hanging="360"/>
      </w:pPr>
      <w:rPr>
        <w:rFonts w:ascii="Wingdings" w:hAnsi="Wingdings" w:hint="default"/>
      </w:rPr>
    </w:lvl>
    <w:lvl w:ilvl="4" w:tplc="F6969CA0" w:tentative="1">
      <w:start w:val="1"/>
      <w:numFmt w:val="bullet"/>
      <w:lvlText w:val=""/>
      <w:lvlJc w:val="left"/>
      <w:pPr>
        <w:tabs>
          <w:tab w:val="num" w:pos="3600"/>
        </w:tabs>
        <w:ind w:left="3600" w:hanging="360"/>
      </w:pPr>
      <w:rPr>
        <w:rFonts w:ascii="Wingdings" w:hAnsi="Wingdings" w:hint="default"/>
      </w:rPr>
    </w:lvl>
    <w:lvl w:ilvl="5" w:tplc="3AE27402" w:tentative="1">
      <w:start w:val="1"/>
      <w:numFmt w:val="bullet"/>
      <w:lvlText w:val=""/>
      <w:lvlJc w:val="left"/>
      <w:pPr>
        <w:tabs>
          <w:tab w:val="num" w:pos="4320"/>
        </w:tabs>
        <w:ind w:left="4320" w:hanging="360"/>
      </w:pPr>
      <w:rPr>
        <w:rFonts w:ascii="Wingdings" w:hAnsi="Wingdings" w:hint="default"/>
      </w:rPr>
    </w:lvl>
    <w:lvl w:ilvl="6" w:tplc="DCC65AF2" w:tentative="1">
      <w:start w:val="1"/>
      <w:numFmt w:val="bullet"/>
      <w:lvlText w:val=""/>
      <w:lvlJc w:val="left"/>
      <w:pPr>
        <w:tabs>
          <w:tab w:val="num" w:pos="5040"/>
        </w:tabs>
        <w:ind w:left="5040" w:hanging="360"/>
      </w:pPr>
      <w:rPr>
        <w:rFonts w:ascii="Wingdings" w:hAnsi="Wingdings" w:hint="default"/>
      </w:rPr>
    </w:lvl>
    <w:lvl w:ilvl="7" w:tplc="87B4928A" w:tentative="1">
      <w:start w:val="1"/>
      <w:numFmt w:val="bullet"/>
      <w:lvlText w:val=""/>
      <w:lvlJc w:val="left"/>
      <w:pPr>
        <w:tabs>
          <w:tab w:val="num" w:pos="5760"/>
        </w:tabs>
        <w:ind w:left="5760" w:hanging="360"/>
      </w:pPr>
      <w:rPr>
        <w:rFonts w:ascii="Wingdings" w:hAnsi="Wingdings" w:hint="default"/>
      </w:rPr>
    </w:lvl>
    <w:lvl w:ilvl="8" w:tplc="2F88C1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9E53CF"/>
    <w:multiLevelType w:val="hybridMultilevel"/>
    <w:tmpl w:val="BBB6D318"/>
    <w:lvl w:ilvl="0" w:tplc="CF6C0C70">
      <w:start w:val="1"/>
      <w:numFmt w:val="bullet"/>
      <w:lvlText w:val=""/>
      <w:lvlJc w:val="left"/>
      <w:pPr>
        <w:ind w:left="1485" w:hanging="360"/>
      </w:pPr>
      <w:rPr>
        <w:rFonts w:ascii="Symbol" w:hAnsi="Symbol" w:hint="default"/>
        <w:color w:val="auto"/>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8" w15:restartNumberingAfterBreak="0">
    <w:nsid w:val="6ACD11A5"/>
    <w:multiLevelType w:val="hybridMultilevel"/>
    <w:tmpl w:val="3CDE5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F1720BC"/>
    <w:multiLevelType w:val="hybridMultilevel"/>
    <w:tmpl w:val="EE9A12D6"/>
    <w:styleLink w:val="ImportedStyle7"/>
    <w:lvl w:ilvl="0" w:tplc="0E1CA5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4DBA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34E5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5ACD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84F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4A07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328E8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0C98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AE75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FFC7676"/>
    <w:multiLevelType w:val="hybridMultilevel"/>
    <w:tmpl w:val="B78E6F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36F4552"/>
    <w:multiLevelType w:val="hybridMultilevel"/>
    <w:tmpl w:val="1BDAE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B5DCF"/>
    <w:multiLevelType w:val="hybridMultilevel"/>
    <w:tmpl w:val="1A5487B6"/>
    <w:styleLink w:val="ImportedStyle2"/>
    <w:lvl w:ilvl="0" w:tplc="BA6E9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CCFA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C44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3813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8925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5C04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B08A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F692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5257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69D35A3"/>
    <w:multiLevelType w:val="hybridMultilevel"/>
    <w:tmpl w:val="D8EA1444"/>
    <w:lvl w:ilvl="0" w:tplc="08090001">
      <w:start w:val="1"/>
      <w:numFmt w:val="bullet"/>
      <w:lvlText w:val=""/>
      <w:lvlJc w:val="left"/>
      <w:pPr>
        <w:ind w:left="1450" w:hanging="360"/>
      </w:pPr>
      <w:rPr>
        <w:rFonts w:ascii="Symbol" w:hAnsi="Symbol" w:hint="default"/>
      </w:rPr>
    </w:lvl>
    <w:lvl w:ilvl="1" w:tplc="08090003" w:tentative="1">
      <w:start w:val="1"/>
      <w:numFmt w:val="bullet"/>
      <w:lvlText w:val="o"/>
      <w:lvlJc w:val="left"/>
      <w:pPr>
        <w:ind w:left="2170" w:hanging="360"/>
      </w:pPr>
      <w:rPr>
        <w:rFonts w:ascii="Courier New" w:hAnsi="Courier New" w:cs="Courier New" w:hint="default"/>
      </w:rPr>
    </w:lvl>
    <w:lvl w:ilvl="2" w:tplc="08090005" w:tentative="1">
      <w:start w:val="1"/>
      <w:numFmt w:val="bullet"/>
      <w:lvlText w:val=""/>
      <w:lvlJc w:val="left"/>
      <w:pPr>
        <w:ind w:left="2890" w:hanging="360"/>
      </w:pPr>
      <w:rPr>
        <w:rFonts w:ascii="Wingdings" w:hAnsi="Wingdings" w:hint="default"/>
      </w:rPr>
    </w:lvl>
    <w:lvl w:ilvl="3" w:tplc="08090001" w:tentative="1">
      <w:start w:val="1"/>
      <w:numFmt w:val="bullet"/>
      <w:lvlText w:val=""/>
      <w:lvlJc w:val="left"/>
      <w:pPr>
        <w:ind w:left="3610" w:hanging="360"/>
      </w:pPr>
      <w:rPr>
        <w:rFonts w:ascii="Symbol" w:hAnsi="Symbol" w:hint="default"/>
      </w:rPr>
    </w:lvl>
    <w:lvl w:ilvl="4" w:tplc="08090003" w:tentative="1">
      <w:start w:val="1"/>
      <w:numFmt w:val="bullet"/>
      <w:lvlText w:val="o"/>
      <w:lvlJc w:val="left"/>
      <w:pPr>
        <w:ind w:left="4330" w:hanging="360"/>
      </w:pPr>
      <w:rPr>
        <w:rFonts w:ascii="Courier New" w:hAnsi="Courier New" w:cs="Courier New" w:hint="default"/>
      </w:rPr>
    </w:lvl>
    <w:lvl w:ilvl="5" w:tplc="08090005" w:tentative="1">
      <w:start w:val="1"/>
      <w:numFmt w:val="bullet"/>
      <w:lvlText w:val=""/>
      <w:lvlJc w:val="left"/>
      <w:pPr>
        <w:ind w:left="5050" w:hanging="360"/>
      </w:pPr>
      <w:rPr>
        <w:rFonts w:ascii="Wingdings" w:hAnsi="Wingdings" w:hint="default"/>
      </w:rPr>
    </w:lvl>
    <w:lvl w:ilvl="6" w:tplc="08090001" w:tentative="1">
      <w:start w:val="1"/>
      <w:numFmt w:val="bullet"/>
      <w:lvlText w:val=""/>
      <w:lvlJc w:val="left"/>
      <w:pPr>
        <w:ind w:left="5770" w:hanging="360"/>
      </w:pPr>
      <w:rPr>
        <w:rFonts w:ascii="Symbol" w:hAnsi="Symbol" w:hint="default"/>
      </w:rPr>
    </w:lvl>
    <w:lvl w:ilvl="7" w:tplc="08090003" w:tentative="1">
      <w:start w:val="1"/>
      <w:numFmt w:val="bullet"/>
      <w:lvlText w:val="o"/>
      <w:lvlJc w:val="left"/>
      <w:pPr>
        <w:ind w:left="6490" w:hanging="360"/>
      </w:pPr>
      <w:rPr>
        <w:rFonts w:ascii="Courier New" w:hAnsi="Courier New" w:cs="Courier New" w:hint="default"/>
      </w:rPr>
    </w:lvl>
    <w:lvl w:ilvl="8" w:tplc="08090005" w:tentative="1">
      <w:start w:val="1"/>
      <w:numFmt w:val="bullet"/>
      <w:lvlText w:val=""/>
      <w:lvlJc w:val="left"/>
      <w:pPr>
        <w:ind w:left="7210" w:hanging="360"/>
      </w:pPr>
      <w:rPr>
        <w:rFonts w:ascii="Wingdings" w:hAnsi="Wingdings" w:hint="default"/>
      </w:rPr>
    </w:lvl>
  </w:abstractNum>
  <w:abstractNum w:abstractNumId="24" w15:restartNumberingAfterBreak="0">
    <w:nsid w:val="794F2E30"/>
    <w:multiLevelType w:val="hybridMultilevel"/>
    <w:tmpl w:val="68F613F4"/>
    <w:styleLink w:val="ImportedStyle1"/>
    <w:lvl w:ilvl="0" w:tplc="D83E85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085A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DECA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C00C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FE50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262B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4258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2AC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30F7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6"/>
  </w:num>
  <w:num w:numId="2">
    <w:abstractNumId w:val="9"/>
  </w:num>
  <w:num w:numId="3">
    <w:abstractNumId w:val="2"/>
  </w:num>
  <w:num w:numId="4">
    <w:abstractNumId w:val="5"/>
  </w:num>
  <w:num w:numId="5">
    <w:abstractNumId w:val="24"/>
  </w:num>
  <w:num w:numId="6">
    <w:abstractNumId w:val="22"/>
  </w:num>
  <w:num w:numId="7">
    <w:abstractNumId w:val="19"/>
  </w:num>
  <w:num w:numId="8">
    <w:abstractNumId w:val="8"/>
  </w:num>
  <w:num w:numId="9">
    <w:abstractNumId w:val="18"/>
  </w:num>
  <w:num w:numId="10">
    <w:abstractNumId w:val="12"/>
  </w:num>
  <w:num w:numId="11">
    <w:abstractNumId w:val="6"/>
  </w:num>
  <w:num w:numId="12">
    <w:abstractNumId w:val="14"/>
  </w:num>
  <w:num w:numId="13">
    <w:abstractNumId w:val="17"/>
  </w:num>
  <w:num w:numId="14">
    <w:abstractNumId w:val="20"/>
  </w:num>
  <w:num w:numId="15">
    <w:abstractNumId w:val="1"/>
  </w:num>
  <w:num w:numId="16">
    <w:abstractNumId w:val="4"/>
  </w:num>
  <w:num w:numId="17">
    <w:abstractNumId w:val="3"/>
  </w:num>
  <w:num w:numId="18">
    <w:abstractNumId w:val="11"/>
  </w:num>
  <w:num w:numId="19">
    <w:abstractNumId w:val="23"/>
  </w:num>
  <w:num w:numId="20">
    <w:abstractNumId w:val="15"/>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 w:numId="2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46"/>
    <w:rsid w:val="00011450"/>
    <w:rsid w:val="00011698"/>
    <w:rsid w:val="000223F0"/>
    <w:rsid w:val="00023E7E"/>
    <w:rsid w:val="0002595A"/>
    <w:rsid w:val="00027F70"/>
    <w:rsid w:val="00030E17"/>
    <w:rsid w:val="0003117A"/>
    <w:rsid w:val="00033D0D"/>
    <w:rsid w:val="00037685"/>
    <w:rsid w:val="0004537B"/>
    <w:rsid w:val="00046B13"/>
    <w:rsid w:val="0005180A"/>
    <w:rsid w:val="0005262E"/>
    <w:rsid w:val="000553BC"/>
    <w:rsid w:val="0005707B"/>
    <w:rsid w:val="000571F8"/>
    <w:rsid w:val="00061709"/>
    <w:rsid w:val="00063878"/>
    <w:rsid w:val="00065813"/>
    <w:rsid w:val="00070F86"/>
    <w:rsid w:val="00074E6D"/>
    <w:rsid w:val="00075F8D"/>
    <w:rsid w:val="00076240"/>
    <w:rsid w:val="00077268"/>
    <w:rsid w:val="00077624"/>
    <w:rsid w:val="00080753"/>
    <w:rsid w:val="00082F02"/>
    <w:rsid w:val="00084360"/>
    <w:rsid w:val="00086820"/>
    <w:rsid w:val="00090672"/>
    <w:rsid w:val="000909C5"/>
    <w:rsid w:val="00091F4F"/>
    <w:rsid w:val="00092136"/>
    <w:rsid w:val="0009654D"/>
    <w:rsid w:val="0009734D"/>
    <w:rsid w:val="000A3CCA"/>
    <w:rsid w:val="000B0A72"/>
    <w:rsid w:val="000B1F37"/>
    <w:rsid w:val="000B3B15"/>
    <w:rsid w:val="000B5BDC"/>
    <w:rsid w:val="000C58F7"/>
    <w:rsid w:val="000C6CB6"/>
    <w:rsid w:val="000D5F75"/>
    <w:rsid w:val="000E17A0"/>
    <w:rsid w:val="000E57F1"/>
    <w:rsid w:val="00101D21"/>
    <w:rsid w:val="001043EE"/>
    <w:rsid w:val="00104D85"/>
    <w:rsid w:val="00105632"/>
    <w:rsid w:val="00105921"/>
    <w:rsid w:val="00107C2C"/>
    <w:rsid w:val="00110E36"/>
    <w:rsid w:val="001148A0"/>
    <w:rsid w:val="00115043"/>
    <w:rsid w:val="00117FEE"/>
    <w:rsid w:val="00120325"/>
    <w:rsid w:val="001206F7"/>
    <w:rsid w:val="00123AEB"/>
    <w:rsid w:val="00130314"/>
    <w:rsid w:val="0013370E"/>
    <w:rsid w:val="00133A2E"/>
    <w:rsid w:val="001422C7"/>
    <w:rsid w:val="001433E5"/>
    <w:rsid w:val="00144E28"/>
    <w:rsid w:val="00151526"/>
    <w:rsid w:val="001518C8"/>
    <w:rsid w:val="001525DD"/>
    <w:rsid w:val="001527D6"/>
    <w:rsid w:val="00155858"/>
    <w:rsid w:val="00155E40"/>
    <w:rsid w:val="00160A03"/>
    <w:rsid w:val="00162E77"/>
    <w:rsid w:val="00163FEC"/>
    <w:rsid w:val="001643FD"/>
    <w:rsid w:val="00164F91"/>
    <w:rsid w:val="001652A8"/>
    <w:rsid w:val="00166579"/>
    <w:rsid w:val="00175C8D"/>
    <w:rsid w:val="00181112"/>
    <w:rsid w:val="00181FCD"/>
    <w:rsid w:val="0018369E"/>
    <w:rsid w:val="00183F66"/>
    <w:rsid w:val="001848DE"/>
    <w:rsid w:val="001850F3"/>
    <w:rsid w:val="00186D2A"/>
    <w:rsid w:val="0018708A"/>
    <w:rsid w:val="0019094E"/>
    <w:rsid w:val="00191EDD"/>
    <w:rsid w:val="0019309C"/>
    <w:rsid w:val="001A1590"/>
    <w:rsid w:val="001A5CD8"/>
    <w:rsid w:val="001A6E2B"/>
    <w:rsid w:val="001A7D78"/>
    <w:rsid w:val="001B2D8C"/>
    <w:rsid w:val="001B6B63"/>
    <w:rsid w:val="001C1664"/>
    <w:rsid w:val="001C17F6"/>
    <w:rsid w:val="001C2DE5"/>
    <w:rsid w:val="001C3C18"/>
    <w:rsid w:val="001D32C5"/>
    <w:rsid w:val="001D5836"/>
    <w:rsid w:val="001D717E"/>
    <w:rsid w:val="001E639C"/>
    <w:rsid w:val="001E6564"/>
    <w:rsid w:val="001E7924"/>
    <w:rsid w:val="001EAF46"/>
    <w:rsid w:val="001F11E9"/>
    <w:rsid w:val="001F42A6"/>
    <w:rsid w:val="001F67B6"/>
    <w:rsid w:val="001F708E"/>
    <w:rsid w:val="00202A62"/>
    <w:rsid w:val="00204E18"/>
    <w:rsid w:val="00205C99"/>
    <w:rsid w:val="002079E4"/>
    <w:rsid w:val="00210207"/>
    <w:rsid w:val="002113C1"/>
    <w:rsid w:val="0021195E"/>
    <w:rsid w:val="00213174"/>
    <w:rsid w:val="00213575"/>
    <w:rsid w:val="00214942"/>
    <w:rsid w:val="00217602"/>
    <w:rsid w:val="0022412C"/>
    <w:rsid w:val="00234F87"/>
    <w:rsid w:val="00236C35"/>
    <w:rsid w:val="00237BE5"/>
    <w:rsid w:val="002427A9"/>
    <w:rsid w:val="00251558"/>
    <w:rsid w:val="00251A27"/>
    <w:rsid w:val="00251E12"/>
    <w:rsid w:val="00251EC1"/>
    <w:rsid w:val="00254AF9"/>
    <w:rsid w:val="00263976"/>
    <w:rsid w:val="0026706B"/>
    <w:rsid w:val="00267A6F"/>
    <w:rsid w:val="00267C52"/>
    <w:rsid w:val="00273C43"/>
    <w:rsid w:val="00276873"/>
    <w:rsid w:val="002778F0"/>
    <w:rsid w:val="00277A81"/>
    <w:rsid w:val="002826D8"/>
    <w:rsid w:val="00286904"/>
    <w:rsid w:val="00287843"/>
    <w:rsid w:val="0029210D"/>
    <w:rsid w:val="00292F85"/>
    <w:rsid w:val="00294AEA"/>
    <w:rsid w:val="0029654B"/>
    <w:rsid w:val="00296961"/>
    <w:rsid w:val="00296CC0"/>
    <w:rsid w:val="002A001E"/>
    <w:rsid w:val="002A14C2"/>
    <w:rsid w:val="002A2ED4"/>
    <w:rsid w:val="002A3CAA"/>
    <w:rsid w:val="002B12A2"/>
    <w:rsid w:val="002B3332"/>
    <w:rsid w:val="002B3396"/>
    <w:rsid w:val="002B42F4"/>
    <w:rsid w:val="002B7F77"/>
    <w:rsid w:val="002C0508"/>
    <w:rsid w:val="002C2151"/>
    <w:rsid w:val="002C6FD8"/>
    <w:rsid w:val="002C7BAC"/>
    <w:rsid w:val="002D1DF5"/>
    <w:rsid w:val="002D4036"/>
    <w:rsid w:val="002D4765"/>
    <w:rsid w:val="002D7441"/>
    <w:rsid w:val="002E1845"/>
    <w:rsid w:val="002E587D"/>
    <w:rsid w:val="002E607D"/>
    <w:rsid w:val="002E7F81"/>
    <w:rsid w:val="002F4069"/>
    <w:rsid w:val="002F7D0F"/>
    <w:rsid w:val="002F7F88"/>
    <w:rsid w:val="003013AD"/>
    <w:rsid w:val="00301493"/>
    <w:rsid w:val="0030424D"/>
    <w:rsid w:val="00307B5D"/>
    <w:rsid w:val="0031100A"/>
    <w:rsid w:val="003135C5"/>
    <w:rsid w:val="003161BB"/>
    <w:rsid w:val="003233DA"/>
    <w:rsid w:val="00323834"/>
    <w:rsid w:val="003248BF"/>
    <w:rsid w:val="00324C69"/>
    <w:rsid w:val="0033029B"/>
    <w:rsid w:val="0033274D"/>
    <w:rsid w:val="00333CB3"/>
    <w:rsid w:val="00340214"/>
    <w:rsid w:val="0034442F"/>
    <w:rsid w:val="00344DC0"/>
    <w:rsid w:val="00346347"/>
    <w:rsid w:val="003509F0"/>
    <w:rsid w:val="00351F8E"/>
    <w:rsid w:val="003530BC"/>
    <w:rsid w:val="00355578"/>
    <w:rsid w:val="00357599"/>
    <w:rsid w:val="00360699"/>
    <w:rsid w:val="003612D0"/>
    <w:rsid w:val="00362552"/>
    <w:rsid w:val="003641AA"/>
    <w:rsid w:val="00364CAA"/>
    <w:rsid w:val="003663D4"/>
    <w:rsid w:val="00366ABC"/>
    <w:rsid w:val="00367EAB"/>
    <w:rsid w:val="00370836"/>
    <w:rsid w:val="00372608"/>
    <w:rsid w:val="0037348F"/>
    <w:rsid w:val="003751C4"/>
    <w:rsid w:val="00377302"/>
    <w:rsid w:val="00381228"/>
    <w:rsid w:val="00385B3E"/>
    <w:rsid w:val="003862F4"/>
    <w:rsid w:val="00386E32"/>
    <w:rsid w:val="00390DEE"/>
    <w:rsid w:val="00392D0B"/>
    <w:rsid w:val="0039515E"/>
    <w:rsid w:val="003A3F5F"/>
    <w:rsid w:val="003B26B9"/>
    <w:rsid w:val="003B4BB0"/>
    <w:rsid w:val="003B50DC"/>
    <w:rsid w:val="003B65C1"/>
    <w:rsid w:val="003C4F55"/>
    <w:rsid w:val="003C654C"/>
    <w:rsid w:val="003C65DA"/>
    <w:rsid w:val="003C65E5"/>
    <w:rsid w:val="003C7960"/>
    <w:rsid w:val="003C7A8E"/>
    <w:rsid w:val="003D14C7"/>
    <w:rsid w:val="003D1854"/>
    <w:rsid w:val="003D1FB1"/>
    <w:rsid w:val="003D4745"/>
    <w:rsid w:val="003E187C"/>
    <w:rsid w:val="003E2EBF"/>
    <w:rsid w:val="003E343B"/>
    <w:rsid w:val="003E3BA6"/>
    <w:rsid w:val="003E4B10"/>
    <w:rsid w:val="003F3E37"/>
    <w:rsid w:val="003F6DD0"/>
    <w:rsid w:val="004022A3"/>
    <w:rsid w:val="00405566"/>
    <w:rsid w:val="00407C0C"/>
    <w:rsid w:val="004142CB"/>
    <w:rsid w:val="00414404"/>
    <w:rsid w:val="0041768D"/>
    <w:rsid w:val="0041773C"/>
    <w:rsid w:val="00421457"/>
    <w:rsid w:val="004238F2"/>
    <w:rsid w:val="00424F3F"/>
    <w:rsid w:val="00425066"/>
    <w:rsid w:val="00425709"/>
    <w:rsid w:val="00431AE6"/>
    <w:rsid w:val="00441C4D"/>
    <w:rsid w:val="0044412B"/>
    <w:rsid w:val="00445A59"/>
    <w:rsid w:val="0044795E"/>
    <w:rsid w:val="0045046D"/>
    <w:rsid w:val="00455AC5"/>
    <w:rsid w:val="00455FC9"/>
    <w:rsid w:val="0045698F"/>
    <w:rsid w:val="00475E5E"/>
    <w:rsid w:val="00476003"/>
    <w:rsid w:val="004762B1"/>
    <w:rsid w:val="004772CB"/>
    <w:rsid w:val="00481965"/>
    <w:rsid w:val="00482252"/>
    <w:rsid w:val="00492129"/>
    <w:rsid w:val="00495C98"/>
    <w:rsid w:val="004A0495"/>
    <w:rsid w:val="004A2641"/>
    <w:rsid w:val="004A69D3"/>
    <w:rsid w:val="004A7BD2"/>
    <w:rsid w:val="004B0952"/>
    <w:rsid w:val="004B477D"/>
    <w:rsid w:val="004C407D"/>
    <w:rsid w:val="004C448B"/>
    <w:rsid w:val="004D1473"/>
    <w:rsid w:val="004D2552"/>
    <w:rsid w:val="004D5F64"/>
    <w:rsid w:val="004D66B1"/>
    <w:rsid w:val="004D6FE4"/>
    <w:rsid w:val="004E2272"/>
    <w:rsid w:val="004E607E"/>
    <w:rsid w:val="004E7863"/>
    <w:rsid w:val="00500C2F"/>
    <w:rsid w:val="00500DCA"/>
    <w:rsid w:val="00501B5B"/>
    <w:rsid w:val="00503D99"/>
    <w:rsid w:val="005071CA"/>
    <w:rsid w:val="0051090E"/>
    <w:rsid w:val="00510F89"/>
    <w:rsid w:val="00512109"/>
    <w:rsid w:val="005132F4"/>
    <w:rsid w:val="005136DF"/>
    <w:rsid w:val="00516483"/>
    <w:rsid w:val="00516E4B"/>
    <w:rsid w:val="005217D8"/>
    <w:rsid w:val="00522513"/>
    <w:rsid w:val="005237C7"/>
    <w:rsid w:val="00525F6E"/>
    <w:rsid w:val="005323F4"/>
    <w:rsid w:val="005342F8"/>
    <w:rsid w:val="00542E70"/>
    <w:rsid w:val="005469E4"/>
    <w:rsid w:val="0055040B"/>
    <w:rsid w:val="00551017"/>
    <w:rsid w:val="00552E77"/>
    <w:rsid w:val="0055604E"/>
    <w:rsid w:val="00556F79"/>
    <w:rsid w:val="00557C2F"/>
    <w:rsid w:val="0056024A"/>
    <w:rsid w:val="005659F5"/>
    <w:rsid w:val="005664F3"/>
    <w:rsid w:val="005700C4"/>
    <w:rsid w:val="0057023A"/>
    <w:rsid w:val="00570690"/>
    <w:rsid w:val="00573F30"/>
    <w:rsid w:val="00575D64"/>
    <w:rsid w:val="005779D0"/>
    <w:rsid w:val="005804CE"/>
    <w:rsid w:val="00580D1D"/>
    <w:rsid w:val="00581DC4"/>
    <w:rsid w:val="0058479B"/>
    <w:rsid w:val="00587207"/>
    <w:rsid w:val="005915C9"/>
    <w:rsid w:val="005933CD"/>
    <w:rsid w:val="00593439"/>
    <w:rsid w:val="00593988"/>
    <w:rsid w:val="005A13C4"/>
    <w:rsid w:val="005A244A"/>
    <w:rsid w:val="005A2BFC"/>
    <w:rsid w:val="005A3124"/>
    <w:rsid w:val="005A4E71"/>
    <w:rsid w:val="005A53F2"/>
    <w:rsid w:val="005A6CBE"/>
    <w:rsid w:val="005B149A"/>
    <w:rsid w:val="005B4BE2"/>
    <w:rsid w:val="005B6EB2"/>
    <w:rsid w:val="005B7779"/>
    <w:rsid w:val="005C2B66"/>
    <w:rsid w:val="005C49EA"/>
    <w:rsid w:val="005D0538"/>
    <w:rsid w:val="005D353B"/>
    <w:rsid w:val="005D6BD3"/>
    <w:rsid w:val="005D70E2"/>
    <w:rsid w:val="005F44E9"/>
    <w:rsid w:val="0060036B"/>
    <w:rsid w:val="00600B88"/>
    <w:rsid w:val="00601F9C"/>
    <w:rsid w:val="006058D5"/>
    <w:rsid w:val="00607B2F"/>
    <w:rsid w:val="00610F95"/>
    <w:rsid w:val="006113FF"/>
    <w:rsid w:val="006147F2"/>
    <w:rsid w:val="0062072E"/>
    <w:rsid w:val="0062155A"/>
    <w:rsid w:val="00625816"/>
    <w:rsid w:val="00626043"/>
    <w:rsid w:val="00626AA7"/>
    <w:rsid w:val="00627276"/>
    <w:rsid w:val="00631528"/>
    <w:rsid w:val="006334FE"/>
    <w:rsid w:val="00637685"/>
    <w:rsid w:val="0063770D"/>
    <w:rsid w:val="00642538"/>
    <w:rsid w:val="0064482F"/>
    <w:rsid w:val="0064775F"/>
    <w:rsid w:val="0065034F"/>
    <w:rsid w:val="00650A29"/>
    <w:rsid w:val="0065389D"/>
    <w:rsid w:val="00654FDA"/>
    <w:rsid w:val="0065629D"/>
    <w:rsid w:val="00662979"/>
    <w:rsid w:val="00663A8A"/>
    <w:rsid w:val="0067155B"/>
    <w:rsid w:val="00682788"/>
    <w:rsid w:val="00684A8C"/>
    <w:rsid w:val="00686C93"/>
    <w:rsid w:val="00692874"/>
    <w:rsid w:val="006B04D1"/>
    <w:rsid w:val="006B1E7A"/>
    <w:rsid w:val="006B2E36"/>
    <w:rsid w:val="006B448D"/>
    <w:rsid w:val="006B65F8"/>
    <w:rsid w:val="006B6E87"/>
    <w:rsid w:val="006B791F"/>
    <w:rsid w:val="006C1010"/>
    <w:rsid w:val="006C3590"/>
    <w:rsid w:val="006C61B6"/>
    <w:rsid w:val="006C782C"/>
    <w:rsid w:val="006D08D7"/>
    <w:rsid w:val="006D2633"/>
    <w:rsid w:val="006E7AF4"/>
    <w:rsid w:val="006F09E7"/>
    <w:rsid w:val="006F20F5"/>
    <w:rsid w:val="006F4E02"/>
    <w:rsid w:val="00703267"/>
    <w:rsid w:val="00705268"/>
    <w:rsid w:val="00706B08"/>
    <w:rsid w:val="00710788"/>
    <w:rsid w:val="00711DFB"/>
    <w:rsid w:val="0071238B"/>
    <w:rsid w:val="00712519"/>
    <w:rsid w:val="00722732"/>
    <w:rsid w:val="00727467"/>
    <w:rsid w:val="00732295"/>
    <w:rsid w:val="00734B13"/>
    <w:rsid w:val="007372D6"/>
    <w:rsid w:val="00742F30"/>
    <w:rsid w:val="007435AD"/>
    <w:rsid w:val="00745A2D"/>
    <w:rsid w:val="00750F48"/>
    <w:rsid w:val="00751404"/>
    <w:rsid w:val="00751A63"/>
    <w:rsid w:val="00756566"/>
    <w:rsid w:val="00762ABB"/>
    <w:rsid w:val="007712EF"/>
    <w:rsid w:val="0077652B"/>
    <w:rsid w:val="00777200"/>
    <w:rsid w:val="00781328"/>
    <w:rsid w:val="00782F01"/>
    <w:rsid w:val="007869A7"/>
    <w:rsid w:val="00786DFC"/>
    <w:rsid w:val="00792385"/>
    <w:rsid w:val="007932B0"/>
    <w:rsid w:val="00795365"/>
    <w:rsid w:val="007A308D"/>
    <w:rsid w:val="007A3ECA"/>
    <w:rsid w:val="007A4630"/>
    <w:rsid w:val="007A5277"/>
    <w:rsid w:val="007B46D6"/>
    <w:rsid w:val="007B609C"/>
    <w:rsid w:val="007B6A75"/>
    <w:rsid w:val="007C129E"/>
    <w:rsid w:val="007C1568"/>
    <w:rsid w:val="007C2A43"/>
    <w:rsid w:val="007C2C2E"/>
    <w:rsid w:val="007C453B"/>
    <w:rsid w:val="007D1B45"/>
    <w:rsid w:val="007D2F28"/>
    <w:rsid w:val="007E0F59"/>
    <w:rsid w:val="007E26FC"/>
    <w:rsid w:val="007E64CC"/>
    <w:rsid w:val="007E69D5"/>
    <w:rsid w:val="007F0228"/>
    <w:rsid w:val="007F04A8"/>
    <w:rsid w:val="007F2943"/>
    <w:rsid w:val="007F33D6"/>
    <w:rsid w:val="007F54AA"/>
    <w:rsid w:val="007F59C0"/>
    <w:rsid w:val="007F5CF7"/>
    <w:rsid w:val="008003A6"/>
    <w:rsid w:val="008024D6"/>
    <w:rsid w:val="0080261C"/>
    <w:rsid w:val="00804D8D"/>
    <w:rsid w:val="008113F8"/>
    <w:rsid w:val="008122CF"/>
    <w:rsid w:val="00815254"/>
    <w:rsid w:val="008166B4"/>
    <w:rsid w:val="00823D4A"/>
    <w:rsid w:val="00823E41"/>
    <w:rsid w:val="008255EE"/>
    <w:rsid w:val="00836D42"/>
    <w:rsid w:val="00836E04"/>
    <w:rsid w:val="00842130"/>
    <w:rsid w:val="00845DB2"/>
    <w:rsid w:val="008470F7"/>
    <w:rsid w:val="008477F9"/>
    <w:rsid w:val="00850CF4"/>
    <w:rsid w:val="008519E9"/>
    <w:rsid w:val="00855700"/>
    <w:rsid w:val="00863EB1"/>
    <w:rsid w:val="00863F12"/>
    <w:rsid w:val="00882A56"/>
    <w:rsid w:val="008860A2"/>
    <w:rsid w:val="00891686"/>
    <w:rsid w:val="008A0093"/>
    <w:rsid w:val="008A3C0F"/>
    <w:rsid w:val="008A5A40"/>
    <w:rsid w:val="008A6E4E"/>
    <w:rsid w:val="008B07F2"/>
    <w:rsid w:val="008B3C16"/>
    <w:rsid w:val="008B48D5"/>
    <w:rsid w:val="008B7446"/>
    <w:rsid w:val="008B7A0D"/>
    <w:rsid w:val="008C478A"/>
    <w:rsid w:val="008C6E6C"/>
    <w:rsid w:val="008D0FD1"/>
    <w:rsid w:val="008D1094"/>
    <w:rsid w:val="008D7C20"/>
    <w:rsid w:val="008E0493"/>
    <w:rsid w:val="008E04CF"/>
    <w:rsid w:val="008E0CB4"/>
    <w:rsid w:val="008E78A2"/>
    <w:rsid w:val="008F1CB8"/>
    <w:rsid w:val="008F2758"/>
    <w:rsid w:val="008F516C"/>
    <w:rsid w:val="008F6659"/>
    <w:rsid w:val="008F69F7"/>
    <w:rsid w:val="009019F0"/>
    <w:rsid w:val="009055E6"/>
    <w:rsid w:val="009106FE"/>
    <w:rsid w:val="009162BA"/>
    <w:rsid w:val="0092354A"/>
    <w:rsid w:val="009311CC"/>
    <w:rsid w:val="00931FC4"/>
    <w:rsid w:val="00936D02"/>
    <w:rsid w:val="00936D4E"/>
    <w:rsid w:val="009372BE"/>
    <w:rsid w:val="00937A15"/>
    <w:rsid w:val="009404AC"/>
    <w:rsid w:val="00940C9C"/>
    <w:rsid w:val="00945BEC"/>
    <w:rsid w:val="009549A6"/>
    <w:rsid w:val="009551D7"/>
    <w:rsid w:val="00957137"/>
    <w:rsid w:val="009576C7"/>
    <w:rsid w:val="0096126D"/>
    <w:rsid w:val="00961287"/>
    <w:rsid w:val="009663CF"/>
    <w:rsid w:val="00976BA0"/>
    <w:rsid w:val="00981C34"/>
    <w:rsid w:val="009823CB"/>
    <w:rsid w:val="009845FA"/>
    <w:rsid w:val="00986EF0"/>
    <w:rsid w:val="00991784"/>
    <w:rsid w:val="00992950"/>
    <w:rsid w:val="009956D0"/>
    <w:rsid w:val="009A1923"/>
    <w:rsid w:val="009A763C"/>
    <w:rsid w:val="009B0592"/>
    <w:rsid w:val="009B416E"/>
    <w:rsid w:val="009B41A8"/>
    <w:rsid w:val="009B73E6"/>
    <w:rsid w:val="009C0CAC"/>
    <w:rsid w:val="009C1058"/>
    <w:rsid w:val="009C5987"/>
    <w:rsid w:val="009C6733"/>
    <w:rsid w:val="009C7404"/>
    <w:rsid w:val="009CF832"/>
    <w:rsid w:val="009D41F4"/>
    <w:rsid w:val="009D430E"/>
    <w:rsid w:val="009E06B1"/>
    <w:rsid w:val="009E2F86"/>
    <w:rsid w:val="009E5001"/>
    <w:rsid w:val="009E5EBA"/>
    <w:rsid w:val="009F0736"/>
    <w:rsid w:val="009F29D3"/>
    <w:rsid w:val="009F5194"/>
    <w:rsid w:val="009F7377"/>
    <w:rsid w:val="00A00290"/>
    <w:rsid w:val="00A061B6"/>
    <w:rsid w:val="00A06DB3"/>
    <w:rsid w:val="00A071FC"/>
    <w:rsid w:val="00A128C5"/>
    <w:rsid w:val="00A1340C"/>
    <w:rsid w:val="00A1436D"/>
    <w:rsid w:val="00A14E3A"/>
    <w:rsid w:val="00A15946"/>
    <w:rsid w:val="00A22781"/>
    <w:rsid w:val="00A230B9"/>
    <w:rsid w:val="00A237AE"/>
    <w:rsid w:val="00A26AC7"/>
    <w:rsid w:val="00A27906"/>
    <w:rsid w:val="00A30407"/>
    <w:rsid w:val="00A378D0"/>
    <w:rsid w:val="00A44B88"/>
    <w:rsid w:val="00A53EA2"/>
    <w:rsid w:val="00A5446C"/>
    <w:rsid w:val="00A5501D"/>
    <w:rsid w:val="00A55B8F"/>
    <w:rsid w:val="00A5683B"/>
    <w:rsid w:val="00A56EA1"/>
    <w:rsid w:val="00A61FB2"/>
    <w:rsid w:val="00A6233A"/>
    <w:rsid w:val="00A62FEA"/>
    <w:rsid w:val="00A643CA"/>
    <w:rsid w:val="00A6485F"/>
    <w:rsid w:val="00A65108"/>
    <w:rsid w:val="00A66E9B"/>
    <w:rsid w:val="00A70F8E"/>
    <w:rsid w:val="00A7312B"/>
    <w:rsid w:val="00A7336B"/>
    <w:rsid w:val="00A74F32"/>
    <w:rsid w:val="00A802F6"/>
    <w:rsid w:val="00A80C59"/>
    <w:rsid w:val="00A81314"/>
    <w:rsid w:val="00A81958"/>
    <w:rsid w:val="00A81E5B"/>
    <w:rsid w:val="00A8348E"/>
    <w:rsid w:val="00A841FD"/>
    <w:rsid w:val="00A845C5"/>
    <w:rsid w:val="00A94EA4"/>
    <w:rsid w:val="00A95137"/>
    <w:rsid w:val="00AA029D"/>
    <w:rsid w:val="00AA42E6"/>
    <w:rsid w:val="00AB0971"/>
    <w:rsid w:val="00AB3BF6"/>
    <w:rsid w:val="00AB4D8A"/>
    <w:rsid w:val="00AC0A08"/>
    <w:rsid w:val="00AC1F6F"/>
    <w:rsid w:val="00AD1F49"/>
    <w:rsid w:val="00AD563B"/>
    <w:rsid w:val="00AD6222"/>
    <w:rsid w:val="00AE0EF6"/>
    <w:rsid w:val="00AE25D9"/>
    <w:rsid w:val="00AE4E9E"/>
    <w:rsid w:val="00AE617B"/>
    <w:rsid w:val="00AE625F"/>
    <w:rsid w:val="00AE66D0"/>
    <w:rsid w:val="00AF0675"/>
    <w:rsid w:val="00AF1ACF"/>
    <w:rsid w:val="00AF1CA7"/>
    <w:rsid w:val="00AF3B17"/>
    <w:rsid w:val="00AF3DC5"/>
    <w:rsid w:val="00AF674D"/>
    <w:rsid w:val="00B00C6F"/>
    <w:rsid w:val="00B04481"/>
    <w:rsid w:val="00B06888"/>
    <w:rsid w:val="00B107E9"/>
    <w:rsid w:val="00B111A5"/>
    <w:rsid w:val="00B123F8"/>
    <w:rsid w:val="00B13C9E"/>
    <w:rsid w:val="00B1527D"/>
    <w:rsid w:val="00B17AA5"/>
    <w:rsid w:val="00B207ED"/>
    <w:rsid w:val="00B25477"/>
    <w:rsid w:val="00B25EAF"/>
    <w:rsid w:val="00B35F94"/>
    <w:rsid w:val="00B422D7"/>
    <w:rsid w:val="00B4341C"/>
    <w:rsid w:val="00B54562"/>
    <w:rsid w:val="00B5640A"/>
    <w:rsid w:val="00B61F36"/>
    <w:rsid w:val="00B70245"/>
    <w:rsid w:val="00B7100D"/>
    <w:rsid w:val="00B722B7"/>
    <w:rsid w:val="00B72D42"/>
    <w:rsid w:val="00B73097"/>
    <w:rsid w:val="00B74820"/>
    <w:rsid w:val="00B818CD"/>
    <w:rsid w:val="00B83018"/>
    <w:rsid w:val="00B8481B"/>
    <w:rsid w:val="00B92F91"/>
    <w:rsid w:val="00B9586D"/>
    <w:rsid w:val="00BA1185"/>
    <w:rsid w:val="00BA1345"/>
    <w:rsid w:val="00BA4D29"/>
    <w:rsid w:val="00BA55E8"/>
    <w:rsid w:val="00BA6E90"/>
    <w:rsid w:val="00BB0F83"/>
    <w:rsid w:val="00BB1B61"/>
    <w:rsid w:val="00BB372A"/>
    <w:rsid w:val="00BB5AD1"/>
    <w:rsid w:val="00BB5FB2"/>
    <w:rsid w:val="00BB673D"/>
    <w:rsid w:val="00BB6B70"/>
    <w:rsid w:val="00BB7F5F"/>
    <w:rsid w:val="00BC0409"/>
    <w:rsid w:val="00BC21D8"/>
    <w:rsid w:val="00BD014F"/>
    <w:rsid w:val="00BD3431"/>
    <w:rsid w:val="00BD3647"/>
    <w:rsid w:val="00BE4CEF"/>
    <w:rsid w:val="00BE53F9"/>
    <w:rsid w:val="00BE62B4"/>
    <w:rsid w:val="00BF42D1"/>
    <w:rsid w:val="00BF4F58"/>
    <w:rsid w:val="00BF58CF"/>
    <w:rsid w:val="00BF68FF"/>
    <w:rsid w:val="00C021FB"/>
    <w:rsid w:val="00C02B29"/>
    <w:rsid w:val="00C047D9"/>
    <w:rsid w:val="00C06FCF"/>
    <w:rsid w:val="00C10E1E"/>
    <w:rsid w:val="00C11D94"/>
    <w:rsid w:val="00C125CD"/>
    <w:rsid w:val="00C12EBC"/>
    <w:rsid w:val="00C13EA1"/>
    <w:rsid w:val="00C175D6"/>
    <w:rsid w:val="00C259A5"/>
    <w:rsid w:val="00C27A31"/>
    <w:rsid w:val="00C322E1"/>
    <w:rsid w:val="00C324C8"/>
    <w:rsid w:val="00C359C8"/>
    <w:rsid w:val="00C36828"/>
    <w:rsid w:val="00C36B16"/>
    <w:rsid w:val="00C36F3E"/>
    <w:rsid w:val="00C41F5A"/>
    <w:rsid w:val="00C43F9A"/>
    <w:rsid w:val="00C440A1"/>
    <w:rsid w:val="00C4516E"/>
    <w:rsid w:val="00C475CE"/>
    <w:rsid w:val="00C47828"/>
    <w:rsid w:val="00C47C36"/>
    <w:rsid w:val="00C51019"/>
    <w:rsid w:val="00C60949"/>
    <w:rsid w:val="00C61021"/>
    <w:rsid w:val="00C63D99"/>
    <w:rsid w:val="00C64A0B"/>
    <w:rsid w:val="00C660CC"/>
    <w:rsid w:val="00C7389A"/>
    <w:rsid w:val="00C82E5E"/>
    <w:rsid w:val="00C83071"/>
    <w:rsid w:val="00C83F57"/>
    <w:rsid w:val="00C937D4"/>
    <w:rsid w:val="00C94F0C"/>
    <w:rsid w:val="00CA0A38"/>
    <w:rsid w:val="00CB419F"/>
    <w:rsid w:val="00CC1D37"/>
    <w:rsid w:val="00CC4720"/>
    <w:rsid w:val="00CC6140"/>
    <w:rsid w:val="00CC6B33"/>
    <w:rsid w:val="00CC6D3F"/>
    <w:rsid w:val="00CD3D70"/>
    <w:rsid w:val="00CE3F1C"/>
    <w:rsid w:val="00CE4981"/>
    <w:rsid w:val="00CE548F"/>
    <w:rsid w:val="00CF3CBA"/>
    <w:rsid w:val="00CF5F7E"/>
    <w:rsid w:val="00D069CB"/>
    <w:rsid w:val="00D079A4"/>
    <w:rsid w:val="00D07C90"/>
    <w:rsid w:val="00D104B5"/>
    <w:rsid w:val="00D11418"/>
    <w:rsid w:val="00D13B4B"/>
    <w:rsid w:val="00D166FD"/>
    <w:rsid w:val="00D17999"/>
    <w:rsid w:val="00D20885"/>
    <w:rsid w:val="00D2188A"/>
    <w:rsid w:val="00D260A2"/>
    <w:rsid w:val="00D26E6C"/>
    <w:rsid w:val="00D3766F"/>
    <w:rsid w:val="00D426C8"/>
    <w:rsid w:val="00D42F89"/>
    <w:rsid w:val="00D437F3"/>
    <w:rsid w:val="00D46D19"/>
    <w:rsid w:val="00D500D9"/>
    <w:rsid w:val="00D5058E"/>
    <w:rsid w:val="00D52EC3"/>
    <w:rsid w:val="00D53F15"/>
    <w:rsid w:val="00D5557E"/>
    <w:rsid w:val="00D61A85"/>
    <w:rsid w:val="00D65F0A"/>
    <w:rsid w:val="00D66B9D"/>
    <w:rsid w:val="00D67602"/>
    <w:rsid w:val="00D70AD0"/>
    <w:rsid w:val="00D73B77"/>
    <w:rsid w:val="00D830B0"/>
    <w:rsid w:val="00D8550A"/>
    <w:rsid w:val="00D86950"/>
    <w:rsid w:val="00D92219"/>
    <w:rsid w:val="00D923DB"/>
    <w:rsid w:val="00D94A55"/>
    <w:rsid w:val="00D94E66"/>
    <w:rsid w:val="00D95C47"/>
    <w:rsid w:val="00D965F4"/>
    <w:rsid w:val="00D96C36"/>
    <w:rsid w:val="00D976AB"/>
    <w:rsid w:val="00D97C1C"/>
    <w:rsid w:val="00DA5066"/>
    <w:rsid w:val="00DA5DD0"/>
    <w:rsid w:val="00DC0F92"/>
    <w:rsid w:val="00DD0719"/>
    <w:rsid w:val="00DD271C"/>
    <w:rsid w:val="00DD5533"/>
    <w:rsid w:val="00DD6529"/>
    <w:rsid w:val="00DE06C2"/>
    <w:rsid w:val="00DE172D"/>
    <w:rsid w:val="00DE41EE"/>
    <w:rsid w:val="00DE65CC"/>
    <w:rsid w:val="00DF4C0F"/>
    <w:rsid w:val="00DF5FDA"/>
    <w:rsid w:val="00DF7025"/>
    <w:rsid w:val="00E0095B"/>
    <w:rsid w:val="00E03810"/>
    <w:rsid w:val="00E11B27"/>
    <w:rsid w:val="00E120ED"/>
    <w:rsid w:val="00E13FA9"/>
    <w:rsid w:val="00E17B23"/>
    <w:rsid w:val="00E203C8"/>
    <w:rsid w:val="00E21964"/>
    <w:rsid w:val="00E220A3"/>
    <w:rsid w:val="00E270C2"/>
    <w:rsid w:val="00E277E6"/>
    <w:rsid w:val="00E27CB9"/>
    <w:rsid w:val="00E31E4F"/>
    <w:rsid w:val="00E32AEB"/>
    <w:rsid w:val="00E32F73"/>
    <w:rsid w:val="00E3308E"/>
    <w:rsid w:val="00E40E0B"/>
    <w:rsid w:val="00E42B67"/>
    <w:rsid w:val="00E45972"/>
    <w:rsid w:val="00E5273E"/>
    <w:rsid w:val="00E53375"/>
    <w:rsid w:val="00E5388B"/>
    <w:rsid w:val="00E5451E"/>
    <w:rsid w:val="00E627C5"/>
    <w:rsid w:val="00E629D0"/>
    <w:rsid w:val="00E645BE"/>
    <w:rsid w:val="00E66DDF"/>
    <w:rsid w:val="00E6757A"/>
    <w:rsid w:val="00E718BE"/>
    <w:rsid w:val="00E71A3B"/>
    <w:rsid w:val="00E74342"/>
    <w:rsid w:val="00E74BB0"/>
    <w:rsid w:val="00E76A23"/>
    <w:rsid w:val="00E836A6"/>
    <w:rsid w:val="00E84F98"/>
    <w:rsid w:val="00E85E37"/>
    <w:rsid w:val="00E902D0"/>
    <w:rsid w:val="00E906B9"/>
    <w:rsid w:val="00E90AD4"/>
    <w:rsid w:val="00E91DBB"/>
    <w:rsid w:val="00E9338C"/>
    <w:rsid w:val="00E93910"/>
    <w:rsid w:val="00E947C1"/>
    <w:rsid w:val="00E94CFC"/>
    <w:rsid w:val="00E9568E"/>
    <w:rsid w:val="00E97E04"/>
    <w:rsid w:val="00EA100E"/>
    <w:rsid w:val="00EA6765"/>
    <w:rsid w:val="00EB0801"/>
    <w:rsid w:val="00EB50B3"/>
    <w:rsid w:val="00EB5AC0"/>
    <w:rsid w:val="00EB78B6"/>
    <w:rsid w:val="00EC0AF7"/>
    <w:rsid w:val="00EC1875"/>
    <w:rsid w:val="00EC3172"/>
    <w:rsid w:val="00EC6918"/>
    <w:rsid w:val="00EC7DF1"/>
    <w:rsid w:val="00ED239D"/>
    <w:rsid w:val="00ED7162"/>
    <w:rsid w:val="00EE1EF1"/>
    <w:rsid w:val="00EE6DB0"/>
    <w:rsid w:val="00EF0C11"/>
    <w:rsid w:val="00EF3467"/>
    <w:rsid w:val="00F00FBE"/>
    <w:rsid w:val="00F04793"/>
    <w:rsid w:val="00F04CB7"/>
    <w:rsid w:val="00F06B65"/>
    <w:rsid w:val="00F101B5"/>
    <w:rsid w:val="00F1051F"/>
    <w:rsid w:val="00F13F37"/>
    <w:rsid w:val="00F16C0C"/>
    <w:rsid w:val="00F205AB"/>
    <w:rsid w:val="00F20FDA"/>
    <w:rsid w:val="00F22E11"/>
    <w:rsid w:val="00F23C22"/>
    <w:rsid w:val="00F31773"/>
    <w:rsid w:val="00F33C0E"/>
    <w:rsid w:val="00F34E2B"/>
    <w:rsid w:val="00F34E5E"/>
    <w:rsid w:val="00F4027B"/>
    <w:rsid w:val="00F407A4"/>
    <w:rsid w:val="00F439B8"/>
    <w:rsid w:val="00F43E9E"/>
    <w:rsid w:val="00F43F3A"/>
    <w:rsid w:val="00F448F0"/>
    <w:rsid w:val="00F45A31"/>
    <w:rsid w:val="00F47543"/>
    <w:rsid w:val="00F50153"/>
    <w:rsid w:val="00F50C89"/>
    <w:rsid w:val="00F50D64"/>
    <w:rsid w:val="00F51B60"/>
    <w:rsid w:val="00F52CFA"/>
    <w:rsid w:val="00F61087"/>
    <w:rsid w:val="00F64DA2"/>
    <w:rsid w:val="00F65D36"/>
    <w:rsid w:val="00F72CD7"/>
    <w:rsid w:val="00F76A3F"/>
    <w:rsid w:val="00F83CB1"/>
    <w:rsid w:val="00F84710"/>
    <w:rsid w:val="00F920C3"/>
    <w:rsid w:val="00F92AC6"/>
    <w:rsid w:val="00F95C49"/>
    <w:rsid w:val="00FA22F9"/>
    <w:rsid w:val="00FA4A8F"/>
    <w:rsid w:val="00FA710F"/>
    <w:rsid w:val="00FA7BD4"/>
    <w:rsid w:val="00FB2194"/>
    <w:rsid w:val="00FB2E89"/>
    <w:rsid w:val="00FB2F14"/>
    <w:rsid w:val="00FB3405"/>
    <w:rsid w:val="00FB490E"/>
    <w:rsid w:val="00FB542E"/>
    <w:rsid w:val="00FC60B6"/>
    <w:rsid w:val="00FC6880"/>
    <w:rsid w:val="00FC733D"/>
    <w:rsid w:val="00FD01D9"/>
    <w:rsid w:val="00FD040D"/>
    <w:rsid w:val="00FD5BAE"/>
    <w:rsid w:val="00FD5CC2"/>
    <w:rsid w:val="00FD603B"/>
    <w:rsid w:val="00FE485D"/>
    <w:rsid w:val="00FE7E24"/>
    <w:rsid w:val="00FE7FBA"/>
    <w:rsid w:val="00FF1550"/>
    <w:rsid w:val="00FF3373"/>
    <w:rsid w:val="00FF61B3"/>
    <w:rsid w:val="00FF787F"/>
    <w:rsid w:val="020175BE"/>
    <w:rsid w:val="02665D8D"/>
    <w:rsid w:val="02F0D89A"/>
    <w:rsid w:val="0360A6CB"/>
    <w:rsid w:val="038B95EB"/>
    <w:rsid w:val="03D56E44"/>
    <w:rsid w:val="03F76329"/>
    <w:rsid w:val="04306C6E"/>
    <w:rsid w:val="049CDE1C"/>
    <w:rsid w:val="04BD8E8D"/>
    <w:rsid w:val="055639E2"/>
    <w:rsid w:val="0591359E"/>
    <w:rsid w:val="05C4D25C"/>
    <w:rsid w:val="05D91D62"/>
    <w:rsid w:val="06285940"/>
    <w:rsid w:val="06751E9A"/>
    <w:rsid w:val="080792EB"/>
    <w:rsid w:val="09B49DE8"/>
    <w:rsid w:val="09B9A61A"/>
    <w:rsid w:val="09E687DA"/>
    <w:rsid w:val="0C87AC94"/>
    <w:rsid w:val="0CAE6558"/>
    <w:rsid w:val="0CFD9139"/>
    <w:rsid w:val="0D2C8EE2"/>
    <w:rsid w:val="0D790FCB"/>
    <w:rsid w:val="0DDC491C"/>
    <w:rsid w:val="0E0042C6"/>
    <w:rsid w:val="0E31C37B"/>
    <w:rsid w:val="0EAE087B"/>
    <w:rsid w:val="0EBB1523"/>
    <w:rsid w:val="0F378A84"/>
    <w:rsid w:val="0F3807F3"/>
    <w:rsid w:val="0F9B3A7D"/>
    <w:rsid w:val="12200730"/>
    <w:rsid w:val="124478E4"/>
    <w:rsid w:val="126DEAC4"/>
    <w:rsid w:val="12D744BC"/>
    <w:rsid w:val="132A2D3B"/>
    <w:rsid w:val="142D13A5"/>
    <w:rsid w:val="14463BF9"/>
    <w:rsid w:val="14F825BF"/>
    <w:rsid w:val="151E2947"/>
    <w:rsid w:val="1523B1AB"/>
    <w:rsid w:val="153D78A2"/>
    <w:rsid w:val="1552DADF"/>
    <w:rsid w:val="1557E485"/>
    <w:rsid w:val="159D0DA6"/>
    <w:rsid w:val="161A3BA2"/>
    <w:rsid w:val="1665C25C"/>
    <w:rsid w:val="167582E0"/>
    <w:rsid w:val="16B05B55"/>
    <w:rsid w:val="17A8D09C"/>
    <w:rsid w:val="18000CB5"/>
    <w:rsid w:val="180DCCC1"/>
    <w:rsid w:val="1815951A"/>
    <w:rsid w:val="190DC30A"/>
    <w:rsid w:val="19A4B262"/>
    <w:rsid w:val="19D9946D"/>
    <w:rsid w:val="1A0CB80B"/>
    <w:rsid w:val="1A614122"/>
    <w:rsid w:val="1A79B1C5"/>
    <w:rsid w:val="1AB71054"/>
    <w:rsid w:val="1B9D1256"/>
    <w:rsid w:val="1C35DB0F"/>
    <w:rsid w:val="1C38C022"/>
    <w:rsid w:val="1C5B0C68"/>
    <w:rsid w:val="1D43F33D"/>
    <w:rsid w:val="1D6A217B"/>
    <w:rsid w:val="1DBB34AD"/>
    <w:rsid w:val="1F1217EE"/>
    <w:rsid w:val="20179A17"/>
    <w:rsid w:val="21CB50A0"/>
    <w:rsid w:val="2262B599"/>
    <w:rsid w:val="22B3B35A"/>
    <w:rsid w:val="22F930C9"/>
    <w:rsid w:val="239304FE"/>
    <w:rsid w:val="23BB3259"/>
    <w:rsid w:val="2437DB82"/>
    <w:rsid w:val="25284C11"/>
    <w:rsid w:val="25B28A80"/>
    <w:rsid w:val="25D94EC6"/>
    <w:rsid w:val="261FFAD5"/>
    <w:rsid w:val="27C9BB62"/>
    <w:rsid w:val="28C3D621"/>
    <w:rsid w:val="29CD63E3"/>
    <w:rsid w:val="2B9BF822"/>
    <w:rsid w:val="2D15EB3B"/>
    <w:rsid w:val="2E085C90"/>
    <w:rsid w:val="2E12F0A2"/>
    <w:rsid w:val="2E5C7C06"/>
    <w:rsid w:val="2EC1E317"/>
    <w:rsid w:val="2F697E73"/>
    <w:rsid w:val="2F7FA242"/>
    <w:rsid w:val="305DB378"/>
    <w:rsid w:val="3060F0B4"/>
    <w:rsid w:val="31BBA5AA"/>
    <w:rsid w:val="322A39CF"/>
    <w:rsid w:val="333C3F39"/>
    <w:rsid w:val="3444E96B"/>
    <w:rsid w:val="349226EB"/>
    <w:rsid w:val="35B38560"/>
    <w:rsid w:val="35D71C5C"/>
    <w:rsid w:val="3625A74A"/>
    <w:rsid w:val="36793E51"/>
    <w:rsid w:val="3699534F"/>
    <w:rsid w:val="36CD7674"/>
    <w:rsid w:val="375A6C17"/>
    <w:rsid w:val="37B024C8"/>
    <w:rsid w:val="38078765"/>
    <w:rsid w:val="3840A47F"/>
    <w:rsid w:val="3936E70B"/>
    <w:rsid w:val="39592132"/>
    <w:rsid w:val="398074EF"/>
    <w:rsid w:val="39A454BA"/>
    <w:rsid w:val="39BD17BB"/>
    <w:rsid w:val="3A4F45FE"/>
    <w:rsid w:val="3AEF62F4"/>
    <w:rsid w:val="3E116D23"/>
    <w:rsid w:val="3E163C63"/>
    <w:rsid w:val="3F5707C7"/>
    <w:rsid w:val="3F85077C"/>
    <w:rsid w:val="3F8A6CE5"/>
    <w:rsid w:val="3FC289AF"/>
    <w:rsid w:val="40D4586A"/>
    <w:rsid w:val="4223AD93"/>
    <w:rsid w:val="4280325D"/>
    <w:rsid w:val="4366BEEA"/>
    <w:rsid w:val="449E9494"/>
    <w:rsid w:val="456284A5"/>
    <w:rsid w:val="4597C24C"/>
    <w:rsid w:val="47287431"/>
    <w:rsid w:val="4751DCDC"/>
    <w:rsid w:val="48E1FF02"/>
    <w:rsid w:val="4BE076AA"/>
    <w:rsid w:val="4C336B34"/>
    <w:rsid w:val="4C5CFECF"/>
    <w:rsid w:val="4C7B3EC2"/>
    <w:rsid w:val="4CD0DE08"/>
    <w:rsid w:val="4D3032FE"/>
    <w:rsid w:val="4DCB292C"/>
    <w:rsid w:val="5048AFBF"/>
    <w:rsid w:val="50AE5AFA"/>
    <w:rsid w:val="50BC5563"/>
    <w:rsid w:val="514B9105"/>
    <w:rsid w:val="52AA21D5"/>
    <w:rsid w:val="536BD2CC"/>
    <w:rsid w:val="538E4BA6"/>
    <w:rsid w:val="53FDD912"/>
    <w:rsid w:val="54117FDA"/>
    <w:rsid w:val="5417551F"/>
    <w:rsid w:val="541E2443"/>
    <w:rsid w:val="544B5754"/>
    <w:rsid w:val="54574373"/>
    <w:rsid w:val="559151A5"/>
    <w:rsid w:val="55951C36"/>
    <w:rsid w:val="56029185"/>
    <w:rsid w:val="5630371A"/>
    <w:rsid w:val="568CA1B4"/>
    <w:rsid w:val="56A9E937"/>
    <w:rsid w:val="56AA8804"/>
    <w:rsid w:val="5772EBE8"/>
    <w:rsid w:val="58002D2E"/>
    <w:rsid w:val="59124DE4"/>
    <w:rsid w:val="599F1563"/>
    <w:rsid w:val="59DBA858"/>
    <w:rsid w:val="59F9D880"/>
    <w:rsid w:val="5A9A04C5"/>
    <w:rsid w:val="5AAEC92F"/>
    <w:rsid w:val="5AB3EAE2"/>
    <w:rsid w:val="5AE20E49"/>
    <w:rsid w:val="5BA2282E"/>
    <w:rsid w:val="5BBD864B"/>
    <w:rsid w:val="5BEE2F35"/>
    <w:rsid w:val="5D276947"/>
    <w:rsid w:val="5D5A9C9F"/>
    <w:rsid w:val="5D5FA226"/>
    <w:rsid w:val="5D9B0776"/>
    <w:rsid w:val="5E1AECD4"/>
    <w:rsid w:val="5E623414"/>
    <w:rsid w:val="5EF470A4"/>
    <w:rsid w:val="5F36F0BE"/>
    <w:rsid w:val="5FA4D58C"/>
    <w:rsid w:val="5FDA1D6F"/>
    <w:rsid w:val="600BF926"/>
    <w:rsid w:val="606DBC1E"/>
    <w:rsid w:val="6113226F"/>
    <w:rsid w:val="6337C812"/>
    <w:rsid w:val="639880C6"/>
    <w:rsid w:val="63A12285"/>
    <w:rsid w:val="63D30D1F"/>
    <w:rsid w:val="63E22DF1"/>
    <w:rsid w:val="63F12463"/>
    <w:rsid w:val="6475777D"/>
    <w:rsid w:val="64BACE6D"/>
    <w:rsid w:val="66A8C128"/>
    <w:rsid w:val="66CAB773"/>
    <w:rsid w:val="66F38090"/>
    <w:rsid w:val="673DF385"/>
    <w:rsid w:val="675D886A"/>
    <w:rsid w:val="68870137"/>
    <w:rsid w:val="68A75407"/>
    <w:rsid w:val="6A4E670B"/>
    <w:rsid w:val="6A96E0C0"/>
    <w:rsid w:val="6AA726C5"/>
    <w:rsid w:val="6AEB976D"/>
    <w:rsid w:val="6B10E794"/>
    <w:rsid w:val="6B80F3C3"/>
    <w:rsid w:val="6BAF2B85"/>
    <w:rsid w:val="6BC6A49F"/>
    <w:rsid w:val="6C45348D"/>
    <w:rsid w:val="6C4E114F"/>
    <w:rsid w:val="6C781860"/>
    <w:rsid w:val="6C792E4D"/>
    <w:rsid w:val="6CACB7F5"/>
    <w:rsid w:val="6D16C868"/>
    <w:rsid w:val="6D6FF244"/>
    <w:rsid w:val="6DA877A4"/>
    <w:rsid w:val="6DBEE8BF"/>
    <w:rsid w:val="6E037372"/>
    <w:rsid w:val="6EB5C4E9"/>
    <w:rsid w:val="6EBC8BCB"/>
    <w:rsid w:val="6EE29B46"/>
    <w:rsid w:val="6F2D78BA"/>
    <w:rsid w:val="6F6DACE4"/>
    <w:rsid w:val="6F75E8BE"/>
    <w:rsid w:val="6FAF28CE"/>
    <w:rsid w:val="70109138"/>
    <w:rsid w:val="7051954A"/>
    <w:rsid w:val="70950D21"/>
    <w:rsid w:val="70A282F8"/>
    <w:rsid w:val="71CA1B58"/>
    <w:rsid w:val="73F8DE13"/>
    <w:rsid w:val="7456CFB2"/>
    <w:rsid w:val="748C385C"/>
    <w:rsid w:val="75132CBA"/>
    <w:rsid w:val="7576D152"/>
    <w:rsid w:val="75811C73"/>
    <w:rsid w:val="76934DB4"/>
    <w:rsid w:val="76E2AB72"/>
    <w:rsid w:val="76FA59DC"/>
    <w:rsid w:val="770C4D32"/>
    <w:rsid w:val="771DD1DF"/>
    <w:rsid w:val="77F7FB59"/>
    <w:rsid w:val="7817DC08"/>
    <w:rsid w:val="78198385"/>
    <w:rsid w:val="782C2953"/>
    <w:rsid w:val="78CFAD83"/>
    <w:rsid w:val="793FFD22"/>
    <w:rsid w:val="799C3711"/>
    <w:rsid w:val="7A46BE81"/>
    <w:rsid w:val="7AD2971D"/>
    <w:rsid w:val="7C3824B9"/>
    <w:rsid w:val="7D43DFDB"/>
    <w:rsid w:val="7D62E34D"/>
    <w:rsid w:val="7D7E51F3"/>
    <w:rsid w:val="7DA21AC3"/>
    <w:rsid w:val="7DDD46F5"/>
    <w:rsid w:val="7E79D901"/>
    <w:rsid w:val="7E7F7FB8"/>
    <w:rsid w:val="7EC59A79"/>
    <w:rsid w:val="7F4074E4"/>
    <w:rsid w:val="7FB2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C81B2"/>
  <w15:chartTrackingRefBased/>
  <w15:docId w15:val="{863FDC3C-2297-439C-998F-0B9BD4F0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446"/>
    <w:pPr>
      <w:spacing w:after="0" w:line="240" w:lineRule="auto"/>
    </w:pPr>
    <w:rPr>
      <w:rFonts w:ascii="Verdana" w:eastAsia="Times New Roman" w:hAnsi="Verdana" w:cs="Times New Roman"/>
      <w:sz w:val="24"/>
      <w:szCs w:val="20"/>
      <w:lang w:eastAsia="en-GB"/>
    </w:rPr>
  </w:style>
  <w:style w:type="paragraph" w:styleId="Heading1">
    <w:name w:val="heading 1"/>
    <w:basedOn w:val="Normal"/>
    <w:next w:val="Normal"/>
    <w:link w:val="Heading1Char"/>
    <w:qFormat/>
    <w:rsid w:val="008B744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446"/>
    <w:rPr>
      <w:rFonts w:ascii="Arial" w:eastAsia="Times New Roman" w:hAnsi="Arial" w:cs="Arial"/>
      <w:b/>
      <w:bCs/>
      <w:kern w:val="32"/>
      <w:sz w:val="32"/>
      <w:szCs w:val="32"/>
      <w:lang w:eastAsia="en-GB"/>
    </w:rPr>
  </w:style>
  <w:style w:type="character" w:styleId="Hyperlink">
    <w:name w:val="Hyperlink"/>
    <w:basedOn w:val="DefaultParagraphFont"/>
    <w:uiPriority w:val="99"/>
    <w:rsid w:val="008B7446"/>
    <w:rPr>
      <w:color w:val="0000FF"/>
      <w:u w:val="single"/>
    </w:rPr>
  </w:style>
  <w:style w:type="paragraph" w:styleId="Header">
    <w:name w:val="header"/>
    <w:basedOn w:val="Normal"/>
    <w:link w:val="HeaderChar"/>
    <w:uiPriority w:val="99"/>
    <w:rsid w:val="008B7446"/>
    <w:pPr>
      <w:tabs>
        <w:tab w:val="center" w:pos="4153"/>
        <w:tab w:val="right" w:pos="8306"/>
      </w:tabs>
    </w:pPr>
  </w:style>
  <w:style w:type="character" w:customStyle="1" w:styleId="HeaderChar">
    <w:name w:val="Header Char"/>
    <w:basedOn w:val="DefaultParagraphFont"/>
    <w:link w:val="Header"/>
    <w:uiPriority w:val="99"/>
    <w:rsid w:val="008B7446"/>
    <w:rPr>
      <w:rFonts w:ascii="Verdana" w:eastAsia="Times New Roman" w:hAnsi="Verdana" w:cs="Times New Roman"/>
      <w:sz w:val="24"/>
      <w:szCs w:val="20"/>
      <w:lang w:eastAsia="en-GB"/>
    </w:rPr>
  </w:style>
  <w:style w:type="paragraph" w:styleId="Footer">
    <w:name w:val="footer"/>
    <w:basedOn w:val="Normal"/>
    <w:link w:val="FooterChar"/>
    <w:uiPriority w:val="99"/>
    <w:rsid w:val="008B7446"/>
    <w:pPr>
      <w:tabs>
        <w:tab w:val="center" w:pos="4153"/>
        <w:tab w:val="right" w:pos="8306"/>
      </w:tabs>
    </w:pPr>
  </w:style>
  <w:style w:type="character" w:customStyle="1" w:styleId="FooterChar">
    <w:name w:val="Footer Char"/>
    <w:basedOn w:val="DefaultParagraphFont"/>
    <w:link w:val="Footer"/>
    <w:uiPriority w:val="99"/>
    <w:rsid w:val="008B7446"/>
    <w:rPr>
      <w:rFonts w:ascii="Verdana" w:eastAsia="Times New Roman" w:hAnsi="Verdana" w:cs="Times New Roman"/>
      <w:sz w:val="24"/>
      <w:szCs w:val="20"/>
      <w:lang w:eastAsia="en-GB"/>
    </w:rPr>
  </w:style>
  <w:style w:type="character" w:styleId="PageNumber">
    <w:name w:val="page number"/>
    <w:basedOn w:val="DefaultParagraphFont"/>
    <w:rsid w:val="008B7446"/>
  </w:style>
  <w:style w:type="paragraph" w:customStyle="1" w:styleId="Default">
    <w:name w:val="Default"/>
    <w:rsid w:val="008B74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2">
    <w:name w:val="Body Text Indent 2"/>
    <w:basedOn w:val="Normal"/>
    <w:link w:val="BodyTextIndent2Char"/>
    <w:rsid w:val="009162BA"/>
    <w:pPr>
      <w:spacing w:after="120" w:line="480" w:lineRule="auto"/>
      <w:ind w:left="283"/>
    </w:pPr>
    <w:rPr>
      <w:rFonts w:ascii="Arial" w:hAnsi="Arial"/>
      <w:sz w:val="28"/>
      <w:szCs w:val="24"/>
      <w:lang w:eastAsia="en-US"/>
    </w:rPr>
  </w:style>
  <w:style w:type="character" w:customStyle="1" w:styleId="BodyTextIndent2Char">
    <w:name w:val="Body Text Indent 2 Char"/>
    <w:basedOn w:val="DefaultParagraphFont"/>
    <w:link w:val="BodyTextIndent2"/>
    <w:rsid w:val="009162BA"/>
    <w:rPr>
      <w:rFonts w:ascii="Arial" w:eastAsia="Times New Roman" w:hAnsi="Arial" w:cs="Times New Roman"/>
      <w:sz w:val="28"/>
      <w:szCs w:val="24"/>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uiPriority w:val="34"/>
    <w:qFormat/>
    <w:rsid w:val="003E187C"/>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1F67B6"/>
    <w:pPr>
      <w:spacing w:after="120" w:line="240" w:lineRule="atLeast"/>
    </w:pPr>
    <w:rPr>
      <w:rFonts w:ascii="Arial" w:hAnsi="Arial"/>
      <w:sz w:val="28"/>
      <w:szCs w:val="24"/>
      <w:lang w:eastAsia="en-US"/>
    </w:rPr>
  </w:style>
  <w:style w:type="character" w:customStyle="1" w:styleId="BodyTextChar">
    <w:name w:val="Body Text Char"/>
    <w:basedOn w:val="DefaultParagraphFont"/>
    <w:link w:val="BodyText"/>
    <w:rsid w:val="001F67B6"/>
    <w:rPr>
      <w:rFonts w:ascii="Arial" w:eastAsia="Times New Roman" w:hAnsi="Arial" w:cs="Times New Roman"/>
      <w:sz w:val="28"/>
      <w:szCs w:val="24"/>
    </w:rPr>
  </w:style>
  <w:style w:type="paragraph" w:styleId="FootnoteText">
    <w:name w:val="footnote text"/>
    <w:basedOn w:val="Normal"/>
    <w:link w:val="FootnoteTextChar"/>
    <w:uiPriority w:val="99"/>
    <w:unhideWhenUsed/>
    <w:rsid w:val="005A4E71"/>
    <w:rPr>
      <w:rFonts w:ascii="Arial" w:hAnsi="Arial"/>
      <w:sz w:val="20"/>
      <w:lang w:eastAsia="en-US"/>
    </w:rPr>
  </w:style>
  <w:style w:type="character" w:customStyle="1" w:styleId="FootnoteTextChar">
    <w:name w:val="Footnote Text Char"/>
    <w:basedOn w:val="DefaultParagraphFont"/>
    <w:link w:val="FootnoteText"/>
    <w:uiPriority w:val="99"/>
    <w:rsid w:val="005A4E71"/>
    <w:rPr>
      <w:rFonts w:ascii="Arial" w:eastAsia="Times New Roman" w:hAnsi="Arial" w:cs="Times New Roman"/>
      <w:sz w:val="20"/>
      <w:szCs w:val="20"/>
    </w:rPr>
  </w:style>
  <w:style w:type="character" w:styleId="FootnoteReference">
    <w:name w:val="footnote reference"/>
    <w:uiPriority w:val="99"/>
    <w:unhideWhenUsed/>
    <w:rsid w:val="005A4E71"/>
    <w:rPr>
      <w:vertAlign w:val="superscript"/>
    </w:rPr>
  </w:style>
  <w:style w:type="paragraph" w:styleId="BalloonText">
    <w:name w:val="Balloon Text"/>
    <w:basedOn w:val="Normal"/>
    <w:link w:val="BalloonTextChar"/>
    <w:uiPriority w:val="99"/>
    <w:semiHidden/>
    <w:unhideWhenUsed/>
    <w:rsid w:val="00792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385"/>
    <w:rPr>
      <w:rFonts w:ascii="Segoe UI" w:eastAsia="Times New Roman" w:hAnsi="Segoe UI" w:cs="Segoe UI"/>
      <w:sz w:val="18"/>
      <w:szCs w:val="18"/>
      <w:lang w:eastAsia="en-GB"/>
    </w:rPr>
  </w:style>
  <w:style w:type="paragraph" w:styleId="NormalWeb">
    <w:name w:val="Normal (Web)"/>
    <w:basedOn w:val="Normal"/>
    <w:uiPriority w:val="99"/>
    <w:unhideWhenUsed/>
    <w:rsid w:val="002B3396"/>
    <w:pPr>
      <w:spacing w:before="100" w:beforeAutospacing="1" w:after="100" w:afterAutospacing="1"/>
    </w:pPr>
    <w:rPr>
      <w:rFonts w:ascii="Times New Roman" w:hAnsi="Times New Roman"/>
      <w:szCs w:val="24"/>
      <w:lang w:eastAsia="en-US"/>
    </w:rPr>
  </w:style>
  <w:style w:type="character" w:styleId="FollowedHyperlink">
    <w:name w:val="FollowedHyperlink"/>
    <w:basedOn w:val="DefaultParagraphFont"/>
    <w:uiPriority w:val="99"/>
    <w:semiHidden/>
    <w:unhideWhenUsed/>
    <w:rsid w:val="0077652B"/>
    <w:rPr>
      <w:color w:val="800080" w:themeColor="followedHyperlink"/>
      <w:u w:val="single"/>
    </w:rPr>
  </w:style>
  <w:style w:type="paragraph" w:customStyle="1" w:styleId="Body">
    <w:name w:val="Body"/>
    <w:rsid w:val="007B609C"/>
    <w:pPr>
      <w:pBdr>
        <w:top w:val="nil"/>
        <w:left w:val="nil"/>
        <w:bottom w:val="nil"/>
        <w:right w:val="nil"/>
        <w:between w:val="nil"/>
        <w:bar w:val="nil"/>
      </w:pBdr>
    </w:pPr>
    <w:rPr>
      <w:rFonts w:ascii="Calibri" w:eastAsia="Calibri" w:hAnsi="Calibri" w:cs="Calibri"/>
      <w:color w:val="000000"/>
      <w:u w:color="000000"/>
      <w:bdr w:val="nil"/>
      <w:lang w:val="en-US"/>
    </w:rPr>
  </w:style>
  <w:style w:type="numbering" w:customStyle="1" w:styleId="ImportedStyle1">
    <w:name w:val="Imported Style 1"/>
    <w:rsid w:val="007B609C"/>
    <w:pPr>
      <w:numPr>
        <w:numId w:val="5"/>
      </w:numPr>
    </w:pPr>
  </w:style>
  <w:style w:type="paragraph" w:customStyle="1" w:styleId="Pa0">
    <w:name w:val="Pa0"/>
    <w:basedOn w:val="Default"/>
    <w:next w:val="Default"/>
    <w:uiPriority w:val="99"/>
    <w:rsid w:val="00130314"/>
    <w:pPr>
      <w:spacing w:line="241" w:lineRule="atLeast"/>
    </w:pPr>
    <w:rPr>
      <w:rFonts w:ascii="Frutiger 45 Light" w:hAnsi="Frutiger 45 Light" w:cs="Times New Roman"/>
      <w:color w:val="auto"/>
    </w:rPr>
  </w:style>
  <w:style w:type="paragraph" w:customStyle="1" w:styleId="DefaultText">
    <w:name w:val="Default Text"/>
    <w:basedOn w:val="Normal"/>
    <w:semiHidden/>
    <w:rsid w:val="00037685"/>
    <w:pPr>
      <w:overflowPunct w:val="0"/>
      <w:autoSpaceDE w:val="0"/>
      <w:autoSpaceDN w:val="0"/>
      <w:adjustRightInd w:val="0"/>
      <w:textAlignment w:val="baseline"/>
    </w:pPr>
    <w:rPr>
      <w:rFonts w:ascii="Times New Roman" w:hAnsi="Times New Roman"/>
      <w:lang w:val="en-US" w:eastAsia="en-US"/>
    </w:rPr>
  </w:style>
  <w:style w:type="paragraph" w:styleId="NoSpacing">
    <w:name w:val="No Spacing"/>
    <w:link w:val="NoSpacingChar"/>
    <w:uiPriority w:val="1"/>
    <w:qFormat/>
    <w:rsid w:val="00370836"/>
    <w:pPr>
      <w:spacing w:after="0" w:line="240" w:lineRule="auto"/>
    </w:pPr>
    <w:rPr>
      <w:rFonts w:ascii="Arial" w:eastAsia="Times New Roman" w:hAnsi="Arial" w:cs="Times New Roman"/>
      <w:sz w:val="24"/>
      <w:szCs w:val="20"/>
    </w:rPr>
  </w:style>
  <w:style w:type="character" w:customStyle="1" w:styleId="st1">
    <w:name w:val="st1"/>
    <w:rsid w:val="004A69D3"/>
  </w:style>
  <w:style w:type="numbering" w:customStyle="1" w:styleId="ImportedStyle2">
    <w:name w:val="Imported Style 2"/>
    <w:rsid w:val="001B6B63"/>
    <w:pPr>
      <w:numPr>
        <w:numId w:val="6"/>
      </w:numPr>
    </w:pPr>
  </w:style>
  <w:style w:type="paragraph" w:customStyle="1" w:styleId="Normalpara">
    <w:name w:val="Normal  para"/>
    <w:basedOn w:val="Normal"/>
    <w:link w:val="NormalparaChar"/>
    <w:qFormat/>
    <w:rsid w:val="002826D8"/>
    <w:pPr>
      <w:spacing w:before="80" w:after="80" w:afterAutospacing="1"/>
      <w:ind w:left="480"/>
    </w:pPr>
    <w:rPr>
      <w:rFonts w:ascii="Arial" w:hAnsi="Arial" w:cs="Arial"/>
      <w:bCs/>
      <w:szCs w:val="24"/>
      <w:lang w:eastAsia="en-US"/>
    </w:rPr>
  </w:style>
  <w:style w:type="character" w:customStyle="1" w:styleId="NormalparaChar">
    <w:name w:val="Normal  para Char"/>
    <w:link w:val="Normalpara"/>
    <w:rsid w:val="002826D8"/>
    <w:rPr>
      <w:rFonts w:ascii="Arial" w:eastAsia="Times New Roman" w:hAnsi="Arial" w:cs="Arial"/>
      <w:bCs/>
      <w:sz w:val="24"/>
      <w:szCs w:val="24"/>
    </w:rPr>
  </w:style>
  <w:style w:type="character" w:customStyle="1" w:styleId="apple-converted-space">
    <w:name w:val="apple-converted-space"/>
    <w:rsid w:val="00D830B0"/>
  </w:style>
  <w:style w:type="numbering" w:customStyle="1" w:styleId="ImportedStyle7">
    <w:name w:val="Imported Style 7"/>
    <w:rsid w:val="00F65D36"/>
    <w:pPr>
      <w:numPr>
        <w:numId w:val="7"/>
      </w:numPr>
    </w:pPr>
  </w:style>
  <w:style w:type="paragraph" w:styleId="BodyText3">
    <w:name w:val="Body Text 3"/>
    <w:basedOn w:val="Normal"/>
    <w:link w:val="BodyText3Char"/>
    <w:uiPriority w:val="99"/>
    <w:semiHidden/>
    <w:unhideWhenUsed/>
    <w:rsid w:val="00E836A6"/>
    <w:pPr>
      <w:spacing w:after="120"/>
    </w:pPr>
    <w:rPr>
      <w:sz w:val="16"/>
      <w:szCs w:val="16"/>
    </w:rPr>
  </w:style>
  <w:style w:type="character" w:customStyle="1" w:styleId="BodyText3Char">
    <w:name w:val="Body Text 3 Char"/>
    <w:basedOn w:val="DefaultParagraphFont"/>
    <w:link w:val="BodyText3"/>
    <w:uiPriority w:val="99"/>
    <w:semiHidden/>
    <w:rsid w:val="00E836A6"/>
    <w:rPr>
      <w:rFonts w:ascii="Verdana" w:eastAsia="Times New Roman" w:hAnsi="Verdana" w:cs="Times New Roman"/>
      <w:sz w:val="16"/>
      <w:szCs w:val="16"/>
      <w:lang w:eastAsia="en-GB"/>
    </w:rPr>
  </w:style>
  <w:style w:type="paragraph" w:customStyle="1" w:styleId="Pa1">
    <w:name w:val="Pa1"/>
    <w:basedOn w:val="Normal"/>
    <w:next w:val="Normal"/>
    <w:uiPriority w:val="99"/>
    <w:rsid w:val="005A53F2"/>
    <w:pPr>
      <w:autoSpaceDE w:val="0"/>
      <w:autoSpaceDN w:val="0"/>
      <w:adjustRightInd w:val="0"/>
      <w:spacing w:line="241" w:lineRule="atLeast"/>
    </w:pPr>
    <w:rPr>
      <w:rFonts w:ascii="DIN" w:eastAsia="Calibri" w:hAnsi="DIN"/>
      <w:szCs w:val="24"/>
      <w:lang w:eastAsia="en-US"/>
    </w:rPr>
  </w:style>
  <w:style w:type="character" w:customStyle="1" w:styleId="A1">
    <w:name w:val="A1"/>
    <w:uiPriority w:val="99"/>
    <w:rsid w:val="005A53F2"/>
    <w:rPr>
      <w:rFonts w:ascii="DIN" w:hAnsi="DIN" w:cs="DIN" w:hint="default"/>
      <w:color w:val="000000"/>
      <w:sz w:val="28"/>
      <w:szCs w:val="28"/>
    </w:rPr>
  </w:style>
  <w:style w:type="character" w:customStyle="1" w:styleId="NoSpacingChar">
    <w:name w:val="No Spacing Char"/>
    <w:link w:val="NoSpacing"/>
    <w:uiPriority w:val="1"/>
    <w:rsid w:val="00625816"/>
    <w:rPr>
      <w:rFonts w:ascii="Arial" w:eastAsia="Times New Roman" w:hAnsi="Arial" w:cs="Times New Roman"/>
      <w:sz w:val="24"/>
      <w:szCs w:val="20"/>
    </w:rPr>
  </w:style>
  <w:style w:type="character" w:customStyle="1" w:styleId="Bodytext2Bold">
    <w:name w:val="Body text (2) + Bold"/>
    <w:rsid w:val="0009734D"/>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normaltextrun">
    <w:name w:val="normaltextrun"/>
    <w:basedOn w:val="DefaultParagraphFont"/>
    <w:rsid w:val="00183F66"/>
  </w:style>
  <w:style w:type="character" w:customStyle="1" w:styleId="eop">
    <w:name w:val="eop"/>
    <w:basedOn w:val="DefaultParagraphFont"/>
    <w:rsid w:val="0018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91978">
      <w:bodyDiv w:val="1"/>
      <w:marLeft w:val="0"/>
      <w:marRight w:val="0"/>
      <w:marTop w:val="0"/>
      <w:marBottom w:val="0"/>
      <w:divBdr>
        <w:top w:val="none" w:sz="0" w:space="0" w:color="auto"/>
        <w:left w:val="none" w:sz="0" w:space="0" w:color="auto"/>
        <w:bottom w:val="none" w:sz="0" w:space="0" w:color="auto"/>
        <w:right w:val="none" w:sz="0" w:space="0" w:color="auto"/>
      </w:divBdr>
      <w:divsChild>
        <w:div w:id="254673046">
          <w:marLeft w:val="0"/>
          <w:marRight w:val="0"/>
          <w:marTop w:val="0"/>
          <w:marBottom w:val="0"/>
          <w:divBdr>
            <w:top w:val="none" w:sz="0" w:space="0" w:color="auto"/>
            <w:left w:val="none" w:sz="0" w:space="0" w:color="auto"/>
            <w:bottom w:val="none" w:sz="0" w:space="0" w:color="auto"/>
            <w:right w:val="none" w:sz="0" w:space="0" w:color="auto"/>
          </w:divBdr>
        </w:div>
      </w:divsChild>
    </w:div>
    <w:div w:id="155729559">
      <w:bodyDiv w:val="1"/>
      <w:marLeft w:val="0"/>
      <w:marRight w:val="0"/>
      <w:marTop w:val="0"/>
      <w:marBottom w:val="0"/>
      <w:divBdr>
        <w:top w:val="none" w:sz="0" w:space="0" w:color="auto"/>
        <w:left w:val="none" w:sz="0" w:space="0" w:color="auto"/>
        <w:bottom w:val="none" w:sz="0" w:space="0" w:color="auto"/>
        <w:right w:val="none" w:sz="0" w:space="0" w:color="auto"/>
      </w:divBdr>
      <w:divsChild>
        <w:div w:id="549419764">
          <w:marLeft w:val="0"/>
          <w:marRight w:val="0"/>
          <w:marTop w:val="0"/>
          <w:marBottom w:val="0"/>
          <w:divBdr>
            <w:top w:val="none" w:sz="0" w:space="0" w:color="auto"/>
            <w:left w:val="none" w:sz="0" w:space="0" w:color="auto"/>
            <w:bottom w:val="none" w:sz="0" w:space="0" w:color="auto"/>
            <w:right w:val="none" w:sz="0" w:space="0" w:color="auto"/>
          </w:divBdr>
        </w:div>
      </w:divsChild>
    </w:div>
    <w:div w:id="587546446">
      <w:bodyDiv w:val="1"/>
      <w:marLeft w:val="0"/>
      <w:marRight w:val="0"/>
      <w:marTop w:val="0"/>
      <w:marBottom w:val="0"/>
      <w:divBdr>
        <w:top w:val="none" w:sz="0" w:space="0" w:color="auto"/>
        <w:left w:val="none" w:sz="0" w:space="0" w:color="auto"/>
        <w:bottom w:val="none" w:sz="0" w:space="0" w:color="auto"/>
        <w:right w:val="none" w:sz="0" w:space="0" w:color="auto"/>
      </w:divBdr>
    </w:div>
    <w:div w:id="756176518">
      <w:bodyDiv w:val="1"/>
      <w:marLeft w:val="0"/>
      <w:marRight w:val="0"/>
      <w:marTop w:val="0"/>
      <w:marBottom w:val="0"/>
      <w:divBdr>
        <w:top w:val="none" w:sz="0" w:space="0" w:color="auto"/>
        <w:left w:val="none" w:sz="0" w:space="0" w:color="auto"/>
        <w:bottom w:val="none" w:sz="0" w:space="0" w:color="auto"/>
        <w:right w:val="none" w:sz="0" w:space="0" w:color="auto"/>
      </w:divBdr>
      <w:divsChild>
        <w:div w:id="507714503">
          <w:marLeft w:val="0"/>
          <w:marRight w:val="0"/>
          <w:marTop w:val="0"/>
          <w:marBottom w:val="0"/>
          <w:divBdr>
            <w:top w:val="none" w:sz="0" w:space="0" w:color="auto"/>
            <w:left w:val="none" w:sz="0" w:space="0" w:color="auto"/>
            <w:bottom w:val="none" w:sz="0" w:space="0" w:color="auto"/>
            <w:right w:val="none" w:sz="0" w:space="0" w:color="auto"/>
          </w:divBdr>
        </w:div>
      </w:divsChild>
    </w:div>
    <w:div w:id="1425154011">
      <w:bodyDiv w:val="1"/>
      <w:marLeft w:val="0"/>
      <w:marRight w:val="0"/>
      <w:marTop w:val="0"/>
      <w:marBottom w:val="0"/>
      <w:divBdr>
        <w:top w:val="none" w:sz="0" w:space="0" w:color="auto"/>
        <w:left w:val="none" w:sz="0" w:space="0" w:color="auto"/>
        <w:bottom w:val="none" w:sz="0" w:space="0" w:color="auto"/>
        <w:right w:val="none" w:sz="0" w:space="0" w:color="auto"/>
      </w:divBdr>
      <w:divsChild>
        <w:div w:id="484783196">
          <w:marLeft w:val="0"/>
          <w:marRight w:val="0"/>
          <w:marTop w:val="0"/>
          <w:marBottom w:val="0"/>
          <w:divBdr>
            <w:top w:val="none" w:sz="0" w:space="0" w:color="auto"/>
            <w:left w:val="none" w:sz="0" w:space="0" w:color="auto"/>
            <w:bottom w:val="none" w:sz="0" w:space="0" w:color="auto"/>
            <w:right w:val="none" w:sz="0" w:space="0" w:color="auto"/>
          </w:divBdr>
        </w:div>
      </w:divsChild>
    </w:div>
    <w:div w:id="1994021324">
      <w:bodyDiv w:val="1"/>
      <w:marLeft w:val="0"/>
      <w:marRight w:val="0"/>
      <w:marTop w:val="0"/>
      <w:marBottom w:val="0"/>
      <w:divBdr>
        <w:top w:val="none" w:sz="0" w:space="0" w:color="auto"/>
        <w:left w:val="none" w:sz="0" w:space="0" w:color="auto"/>
        <w:bottom w:val="none" w:sz="0" w:space="0" w:color="auto"/>
        <w:right w:val="none" w:sz="0" w:space="0" w:color="auto"/>
      </w:divBdr>
    </w:div>
    <w:div w:id="20605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belfasttrust.hscni.net" TargetMode="External"/><Relationship Id="rId26" Type="http://schemas.openxmlformats.org/officeDocument/2006/relationships/hyperlink" Target="https://belfasttrust.hscni.net/download/725/jan-mar-25/21854/es-jan-25-07-adults-receiving-subcutaneous-fluids-within-a-community-setting.doc" TargetMode="External"/><Relationship Id="rId3" Type="http://schemas.openxmlformats.org/officeDocument/2006/relationships/customXml" Target="../customXml/item3.xml"/><Relationship Id="rId21" Type="http://schemas.openxmlformats.org/officeDocument/2006/relationships/hyperlink" Target="https://belfasttrust.hscni.net/download/725/jan-mar-25/21850/es-jan-25-01-social-care-supervision-policy.do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belfasttrust.hscni.net/download/725/jan-mar-25/21855/es-jan-25-06-injectable-medicines-guide-policy.doc" TargetMode="External"/><Relationship Id="rId33" Type="http://schemas.openxmlformats.org/officeDocument/2006/relationships/theme" Target="theme/theme1.xml"/><Relationship Id="R81a3a704b2ae426d"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elfasttrust.hscni.net/download/725/jan-mar-25/21857/es-jun-24-10-review-of-enhanced-supervision-arrangem.docx" TargetMode="External"/><Relationship Id="rId29" Type="http://schemas.openxmlformats.org/officeDocument/2006/relationships/hyperlink" Target="https://belfasttrust.hscni.net/download/725/jan-mar-25/21851/es-feb-25-04-management-of-internal-guidance.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belfasttrust.hscni.net/download/725/jan-mar-25/21853/es-jan-25-05-revised-policy-bhsct-arterial-line-policy.doc"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belfasttrust.hscni.net/download/725/jan-mar-25/21848/es-dec-24-05-wound-management.doc" TargetMode="External"/><Relationship Id="rId28" Type="http://schemas.openxmlformats.org/officeDocument/2006/relationships/hyperlink" Target="https://belfasttrust.hscni.net/download/725/jan-mar-25/21849/es-feb-25-03-irmer-eps-radioisotopes-feb25-draft.docx" TargetMode="External"/><Relationship Id="rId10" Type="http://schemas.openxmlformats.org/officeDocument/2006/relationships/endnotes" Target="endnotes.xml"/><Relationship Id="rId19" Type="http://schemas.openxmlformats.org/officeDocument/2006/relationships/hyperlink" Target="mailto:orla.barron@belfasttrust.hscni.net" TargetMode="External"/><Relationship Id="rId31" Type="http://schemas.openxmlformats.org/officeDocument/2006/relationships/hyperlink" Target="https://belfasttrust.hscni.net/download/725/jan-mar-25/21859/es-mar-25-01-glucose-monitoring-for-patients-and-treatment-dose-co-trimoxazole.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elfasttrust.hscni.net/download/725/jan-mar-25/21852/es-jan-25-04-review-of-orthopaedic-services-pre-op-assessment-activity.docx" TargetMode="External"/><Relationship Id="rId27" Type="http://schemas.openxmlformats.org/officeDocument/2006/relationships/hyperlink" Target="https://belfasttrust.hscni.net/download/725/jan-mar-25/21856/es-jan-25-08-safe-use-of-oral-and-subcutaneous-methotrexate-in-non-cancer-conditions.docx" TargetMode="External"/><Relationship Id="rId30" Type="http://schemas.openxmlformats.org/officeDocument/2006/relationships/hyperlink" Target="https://belfasttrust.hscni.net/download/725/jan-mar-25/21858/es-sept-24-02-fgm-safeguarding-pathway-and-risk-assessmen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4eead2ae63ea47d53b71691d90a9338d">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5e7c12c3315cd9687ba0d9cd7ba4ca1e"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78AFD-66D0-4BCB-8100-3AB43B96B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4c23f-0162-40d8-91ae-8e32e322803b"/>
    <ds:schemaRef ds:uri="53b967dc-fb83-4fec-921a-17559bd7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E1D07-002F-4397-9475-090A87D41F1E}">
  <ds:schemaRefs>
    <ds:schemaRef ds:uri="http://schemas.microsoft.com/office/infopath/2007/PartnerControls"/>
    <ds:schemaRef ds:uri="http://schemas.microsoft.com/office/2006/documentManagement/types"/>
    <ds:schemaRef ds:uri="http://schemas.microsoft.com/office/2006/metadata/properties"/>
    <ds:schemaRef ds:uri="53b967dc-fb83-4fec-921a-17559bd756a3"/>
    <ds:schemaRef ds:uri="af94c23f-0162-40d8-91ae-8e32e322803b"/>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2A164A59-FDF8-4732-A7CC-CD7D42BA88D7}">
  <ds:schemaRefs>
    <ds:schemaRef ds:uri="http://schemas.microsoft.com/sharepoint/v3/contenttype/forms"/>
  </ds:schemaRefs>
</ds:datastoreItem>
</file>

<file path=customXml/itemProps4.xml><?xml version="1.0" encoding="utf-8"?>
<ds:datastoreItem xmlns:ds="http://schemas.openxmlformats.org/officeDocument/2006/customXml" ds:itemID="{2972BE86-C606-4503-B5BD-D8EFC6BF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Lesley</dc:creator>
  <cp:keywords/>
  <dc:description/>
  <cp:lastModifiedBy>Growcott, Michelle</cp:lastModifiedBy>
  <cp:revision>3</cp:revision>
  <cp:lastPrinted>2020-03-31T12:51:00Z</cp:lastPrinted>
  <dcterms:created xsi:type="dcterms:W3CDTF">2025-04-15T14:27:00Z</dcterms:created>
  <dcterms:modified xsi:type="dcterms:W3CDTF">2025-04-16T09:19:00Z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0x010100BCC18FDB512A3B418FA0F493F576F55D</vt:lpwstr>
  </property>
</Properties>
</file>